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46A6E">
      <w:pPr>
        <w:pStyle w:val="2"/>
        <w:keepNext w:val="0"/>
        <w:keepLines w:val="0"/>
        <w:adjustRightInd w:val="0"/>
        <w:snapToGrid w:val="0"/>
        <w:spacing w:before="0" w:after="120"/>
        <w:rPr>
          <w:sz w:val="30"/>
          <w:szCs w:val="30"/>
        </w:rPr>
      </w:pPr>
      <w:bookmarkStart w:id="0" w:name="_Toc19915"/>
      <w:bookmarkStart w:id="1" w:name="_Toc26315"/>
      <w:bookmarkStart w:id="2" w:name="_Toc5934"/>
      <w:bookmarkStart w:id="3" w:name="_Toc20631"/>
      <w:bookmarkStart w:id="4" w:name="_Toc14358"/>
      <w:bookmarkStart w:id="5" w:name="_Toc17193"/>
      <w:bookmarkStart w:id="6" w:name="_Toc21409"/>
      <w:bookmarkStart w:id="7" w:name="_Toc97560485"/>
      <w:r>
        <w:rPr>
          <w:rFonts w:hint="eastAsia" w:ascii="黑体" w:hAnsi="黑体" w:eastAsia="黑体"/>
          <w:color w:val="000000"/>
          <w:szCs w:val="32"/>
        </w:rPr>
        <w:t>海湾认证项目-</w:t>
      </w:r>
      <w:r>
        <w:rPr>
          <w:rFonts w:hint="eastAsia"/>
          <w:sz w:val="30"/>
          <w:szCs w:val="30"/>
        </w:rPr>
        <w:t>非生产物资招标项目综合</w:t>
      </w:r>
      <w:bookmarkEnd w:id="0"/>
      <w:bookmarkEnd w:id="1"/>
      <w:bookmarkEnd w:id="2"/>
      <w:bookmarkEnd w:id="3"/>
      <w:bookmarkEnd w:id="4"/>
      <w:bookmarkEnd w:id="5"/>
      <w:bookmarkEnd w:id="6"/>
      <w:bookmarkEnd w:id="7"/>
      <w:r>
        <w:rPr>
          <w:rFonts w:hint="eastAsia"/>
          <w:sz w:val="30"/>
          <w:szCs w:val="30"/>
        </w:rPr>
        <w:t>评审法方案</w:t>
      </w:r>
    </w:p>
    <w:p w14:paraId="0FF3D4A8">
      <w:pPr>
        <w:spacing w:before="156" w:beforeLines="50" w:after="156" w:afterLines="50" w:line="440" w:lineRule="exact"/>
        <w:rPr>
          <w:rFonts w:hint="eastAsia" w:ascii="宋体" w:hAnsi="宋体"/>
          <w:b/>
          <w:sz w:val="28"/>
          <w:szCs w:val="28"/>
        </w:rPr>
      </w:pPr>
      <w:r>
        <w:rPr>
          <w:rFonts w:ascii="宋体" w:hAnsi="宋体"/>
          <w:b/>
          <w:sz w:val="28"/>
          <w:szCs w:val="28"/>
          <w:lang w:val="zh-CN"/>
        </w:rPr>
        <w:t>一、评标方法：综合</w:t>
      </w:r>
      <w:r>
        <w:rPr>
          <w:rFonts w:hint="eastAsia" w:ascii="宋体" w:hAnsi="宋体"/>
          <w:b/>
          <w:sz w:val="28"/>
          <w:szCs w:val="28"/>
          <w:lang w:val="zh-CN"/>
        </w:rPr>
        <w:t>评审</w:t>
      </w:r>
      <w:r>
        <w:rPr>
          <w:rFonts w:ascii="宋体" w:hAnsi="宋体"/>
          <w:b/>
          <w:sz w:val="28"/>
          <w:szCs w:val="28"/>
          <w:lang w:val="zh-CN"/>
        </w:rPr>
        <w:t>法</w:t>
      </w:r>
    </w:p>
    <w:p w14:paraId="1831EA94">
      <w:pPr>
        <w:spacing w:line="360" w:lineRule="auto"/>
        <w:ind w:firstLine="480" w:firstLineChars="200"/>
        <w:rPr>
          <w:rFonts w:hint="eastAsia" w:ascii="宋体" w:hAnsi="宋体"/>
          <w:sz w:val="24"/>
          <w:lang w:val="zh-CN"/>
        </w:rPr>
      </w:pPr>
      <w:r>
        <w:rPr>
          <w:rFonts w:ascii="宋体" w:hAnsi="宋体"/>
          <w:sz w:val="24"/>
          <w:lang w:val="zh-CN"/>
        </w:rPr>
        <w:t>对所有投标人的投标文件评审，都采用相同的程序和标准。</w:t>
      </w:r>
    </w:p>
    <w:p w14:paraId="7B6570FB">
      <w:pPr>
        <w:spacing w:line="360" w:lineRule="auto"/>
        <w:rPr>
          <w:rFonts w:hint="eastAsia" w:ascii="宋体" w:hAnsi="宋体"/>
          <w:sz w:val="24"/>
        </w:rPr>
      </w:pPr>
      <w:r>
        <w:rPr>
          <w:rFonts w:hint="eastAsia" w:ascii="宋体" w:hAnsi="宋体"/>
          <w:sz w:val="24"/>
        </w:rPr>
        <w:t>采购评标小组成员：</w:t>
      </w:r>
    </w:p>
    <w:p w14:paraId="5427B779">
      <w:pPr>
        <w:spacing w:line="360" w:lineRule="auto"/>
        <w:rPr>
          <w:rFonts w:hint="eastAsia" w:ascii="宋体" w:hAnsi="宋体"/>
          <w:b/>
          <w:bCs/>
          <w:color w:val="0000FF"/>
          <w:sz w:val="24"/>
          <w:lang w:val="zh-CN"/>
        </w:rPr>
      </w:pPr>
      <w:r>
        <w:rPr>
          <w:rFonts w:hint="eastAsia" w:ascii="宋体" w:hAnsi="宋体"/>
          <w:sz w:val="24"/>
        </w:rPr>
        <w:t>开标评审人员由系统随机在开标评审人才库随机抽选；评标人员成员一般为5人及以上单数。</w:t>
      </w:r>
    </w:p>
    <w:p w14:paraId="7D6B3C9B">
      <w:pPr>
        <w:spacing w:line="360" w:lineRule="auto"/>
        <w:rPr>
          <w:rFonts w:hint="eastAsia" w:ascii="宋体" w:hAnsi="宋体"/>
          <w:b/>
          <w:bCs/>
          <w:color w:val="0000FF"/>
          <w:sz w:val="24"/>
        </w:rPr>
      </w:pPr>
      <w:r>
        <w:rPr>
          <w:rFonts w:hint="eastAsia" w:ascii="宋体" w:hAnsi="宋体"/>
          <w:b/>
          <w:bCs/>
          <w:color w:val="0000FF"/>
          <w:sz w:val="24"/>
        </w:rPr>
        <w:t>针对技术复杂、专业性强或者存在特殊原因的由招标中心根据情况指定评标人员。</w:t>
      </w:r>
    </w:p>
    <w:p w14:paraId="15FA7217">
      <w:pPr>
        <w:numPr>
          <w:ilvl w:val="0"/>
          <w:numId w:val="1"/>
        </w:numPr>
        <w:spacing w:line="360" w:lineRule="auto"/>
        <w:rPr>
          <w:rFonts w:hint="eastAsia" w:ascii="宋体" w:hAnsi="宋体"/>
          <w:sz w:val="24"/>
          <w:lang w:val="zh-CN"/>
        </w:rPr>
      </w:pPr>
      <w:r>
        <w:rPr>
          <w:rFonts w:ascii="宋体" w:hAnsi="宋体"/>
          <w:sz w:val="24"/>
          <w:lang w:val="zh-CN"/>
        </w:rPr>
        <w:t>由</w:t>
      </w:r>
      <w:r>
        <w:rPr>
          <w:rFonts w:hint="eastAsia" w:ascii="宋体" w:hAnsi="宋体"/>
          <w:sz w:val="24"/>
        </w:rPr>
        <w:t>采购评标小组成员</w:t>
      </w:r>
      <w:r>
        <w:rPr>
          <w:rFonts w:ascii="宋体" w:hAnsi="宋体"/>
          <w:sz w:val="24"/>
          <w:lang w:val="zh-CN"/>
        </w:rPr>
        <w:t>根据</w:t>
      </w:r>
      <w:r>
        <w:rPr>
          <w:rFonts w:hint="eastAsia" w:ascii="宋体" w:hAnsi="宋体"/>
          <w:sz w:val="24"/>
          <w:lang w:val="zh-CN"/>
        </w:rPr>
        <w:t>招标文件</w:t>
      </w:r>
      <w:r>
        <w:rPr>
          <w:rFonts w:hint="eastAsia" w:ascii="宋体" w:hAnsi="宋体"/>
          <w:sz w:val="24"/>
        </w:rPr>
        <w:t>资格审核的</w:t>
      </w:r>
      <w:r>
        <w:rPr>
          <w:rFonts w:ascii="宋体" w:hAnsi="宋体"/>
          <w:sz w:val="24"/>
          <w:lang w:val="zh-CN"/>
        </w:rPr>
        <w:t>要求</w:t>
      </w:r>
      <w:r>
        <w:rPr>
          <w:rFonts w:hint="eastAsia" w:ascii="宋体" w:hAnsi="宋体"/>
          <w:sz w:val="24"/>
          <w:lang w:val="zh-CN"/>
        </w:rPr>
        <w:t>（</w:t>
      </w:r>
      <w:r>
        <w:rPr>
          <w:rFonts w:hint="eastAsia" w:ascii="宋体" w:hAnsi="宋体"/>
          <w:sz w:val="24"/>
        </w:rPr>
        <w:t>评审项目、内容、相关佐证材料</w:t>
      </w:r>
      <w:r>
        <w:rPr>
          <w:rFonts w:hint="eastAsia" w:ascii="宋体" w:hAnsi="宋体"/>
          <w:sz w:val="24"/>
          <w:lang w:val="zh-CN"/>
        </w:rPr>
        <w:t>）、</w:t>
      </w:r>
      <w:r>
        <w:rPr>
          <w:rFonts w:hint="eastAsia" w:ascii="宋体" w:hAnsi="宋体"/>
          <w:sz w:val="24"/>
        </w:rPr>
        <w:t>评分标准和计分方法</w:t>
      </w:r>
      <w:r>
        <w:rPr>
          <w:rFonts w:ascii="宋体" w:hAnsi="宋体"/>
          <w:sz w:val="24"/>
          <w:lang w:val="zh-CN"/>
        </w:rPr>
        <w:t>，审核</w:t>
      </w:r>
      <w:r>
        <w:rPr>
          <w:rFonts w:hint="eastAsia" w:ascii="宋体" w:hAnsi="宋体"/>
          <w:sz w:val="24"/>
        </w:rPr>
        <w:t>和评审</w:t>
      </w:r>
      <w:r>
        <w:rPr>
          <w:rFonts w:ascii="宋体" w:hAnsi="宋体"/>
          <w:sz w:val="24"/>
          <w:lang w:val="zh-CN"/>
        </w:rPr>
        <w:t>各投标文件</w:t>
      </w:r>
      <w:r>
        <w:rPr>
          <w:rFonts w:hint="eastAsia" w:ascii="宋体" w:hAnsi="宋体"/>
          <w:sz w:val="24"/>
        </w:rPr>
        <w:t>的资格审核部分</w:t>
      </w:r>
      <w:r>
        <w:rPr>
          <w:rFonts w:ascii="宋体" w:hAnsi="宋体"/>
          <w:sz w:val="24"/>
          <w:lang w:val="zh-CN"/>
        </w:rPr>
        <w:t>是否合格、有效</w:t>
      </w:r>
      <w:r>
        <w:rPr>
          <w:rFonts w:hint="eastAsia" w:ascii="宋体" w:hAnsi="宋体"/>
          <w:sz w:val="24"/>
        </w:rPr>
        <w:t>及评价审核得分</w:t>
      </w:r>
      <w:r>
        <w:rPr>
          <w:rFonts w:hint="eastAsia" w:ascii="宋体" w:hAnsi="宋体"/>
          <w:sz w:val="24"/>
          <w:lang w:val="zh-CN"/>
        </w:rPr>
        <w:t>（</w:t>
      </w:r>
      <w:r>
        <w:rPr>
          <w:rFonts w:ascii="宋体" w:hAnsi="宋体"/>
          <w:sz w:val="24"/>
          <w:lang w:val="zh-CN"/>
        </w:rPr>
        <w:t>凡不符合专业条件要求</w:t>
      </w:r>
      <w:r>
        <w:rPr>
          <w:rFonts w:hint="eastAsia" w:ascii="宋体" w:hAnsi="宋体"/>
          <w:sz w:val="24"/>
          <w:lang w:val="zh-CN"/>
        </w:rPr>
        <w:t>项</w:t>
      </w:r>
      <w:r>
        <w:rPr>
          <w:rFonts w:ascii="宋体" w:hAnsi="宋体"/>
          <w:sz w:val="24"/>
          <w:lang w:val="zh-CN"/>
        </w:rPr>
        <w:t>和未实质性响应</w:t>
      </w:r>
      <w:r>
        <w:rPr>
          <w:rFonts w:hint="eastAsia" w:ascii="宋体" w:hAnsi="宋体"/>
          <w:sz w:val="24"/>
        </w:rPr>
        <w:t>资格审核</w:t>
      </w:r>
      <w:r>
        <w:rPr>
          <w:rFonts w:hint="eastAsia" w:ascii="宋体" w:hAnsi="宋体"/>
          <w:sz w:val="24"/>
          <w:lang w:val="zh-CN"/>
        </w:rPr>
        <w:t>文件</w:t>
      </w:r>
      <w:r>
        <w:rPr>
          <w:rFonts w:ascii="宋体" w:hAnsi="宋体"/>
          <w:sz w:val="24"/>
          <w:lang w:val="zh-CN"/>
        </w:rPr>
        <w:t>要求的</w:t>
      </w:r>
      <w:r>
        <w:rPr>
          <w:rFonts w:hint="eastAsia" w:ascii="宋体" w:hAnsi="宋体"/>
          <w:sz w:val="24"/>
          <w:lang w:val="zh-CN"/>
        </w:rPr>
        <w:t>内容项</w:t>
      </w:r>
      <w:r>
        <w:rPr>
          <w:rFonts w:ascii="宋体" w:hAnsi="宋体"/>
          <w:sz w:val="24"/>
          <w:lang w:val="zh-CN"/>
        </w:rPr>
        <w:t>均不</w:t>
      </w:r>
      <w:r>
        <w:rPr>
          <w:rFonts w:hint="eastAsia" w:ascii="宋体" w:hAnsi="宋体"/>
          <w:sz w:val="24"/>
          <w:lang w:val="zh-CN"/>
        </w:rPr>
        <w:t>得分）</w:t>
      </w:r>
      <w:r>
        <w:rPr>
          <w:rFonts w:ascii="宋体" w:hAnsi="宋体"/>
          <w:sz w:val="24"/>
          <w:lang w:val="zh-CN"/>
        </w:rPr>
        <w:t>。</w:t>
      </w:r>
    </w:p>
    <w:p w14:paraId="43F7A290">
      <w:pPr>
        <w:numPr>
          <w:ilvl w:val="0"/>
          <w:numId w:val="1"/>
        </w:numPr>
        <w:spacing w:line="360" w:lineRule="auto"/>
        <w:rPr>
          <w:rFonts w:hint="eastAsia" w:ascii="宋体" w:hAnsi="宋体"/>
          <w:sz w:val="24"/>
          <w:lang w:val="zh-CN"/>
        </w:rPr>
      </w:pPr>
      <w:r>
        <w:rPr>
          <w:rFonts w:ascii="宋体" w:hAnsi="宋体"/>
          <w:sz w:val="24"/>
          <w:lang w:val="zh-CN"/>
        </w:rPr>
        <w:t>通过</w:t>
      </w:r>
      <w:r>
        <w:rPr>
          <w:rFonts w:hint="eastAsia" w:ascii="宋体" w:hAnsi="宋体"/>
          <w:sz w:val="24"/>
          <w:lang w:val="zh-CN"/>
        </w:rPr>
        <w:t>企业资格审核的应标方</w:t>
      </w:r>
      <w:r>
        <w:rPr>
          <w:rFonts w:ascii="宋体" w:hAnsi="宋体"/>
          <w:sz w:val="24"/>
          <w:lang w:val="zh-CN"/>
        </w:rPr>
        <w:t>，</w:t>
      </w:r>
      <w:r>
        <w:rPr>
          <w:rFonts w:hint="eastAsia" w:ascii="宋体" w:hAnsi="宋体"/>
          <w:sz w:val="24"/>
        </w:rPr>
        <w:t>按照供应商能力审核评审项目/评分标准的评分标准和计分方法，计算出符合资格审核得分。</w:t>
      </w:r>
    </w:p>
    <w:p w14:paraId="277093A8">
      <w:pPr>
        <w:numPr>
          <w:ilvl w:val="0"/>
          <w:numId w:val="1"/>
        </w:numPr>
        <w:spacing w:line="360" w:lineRule="auto"/>
        <w:rPr>
          <w:rFonts w:hint="eastAsia" w:ascii="宋体" w:hAnsi="宋体"/>
          <w:sz w:val="24"/>
          <w:lang w:val="zh-CN"/>
        </w:rPr>
      </w:pPr>
      <w:r>
        <w:rPr>
          <w:rFonts w:hint="eastAsia" w:ascii="宋体" w:hAnsi="宋体"/>
          <w:sz w:val="24"/>
        </w:rPr>
        <w:t>根据商务评分标准和计分方法,对其投标报价进行商务评分和计分。</w:t>
      </w:r>
    </w:p>
    <w:p w14:paraId="24DD5AD7">
      <w:pPr>
        <w:numPr>
          <w:ilvl w:val="0"/>
          <w:numId w:val="1"/>
        </w:numPr>
        <w:spacing w:line="360" w:lineRule="auto"/>
        <w:rPr>
          <w:rFonts w:hint="eastAsia" w:ascii="宋体" w:hAnsi="宋体"/>
          <w:sz w:val="24"/>
          <w:lang w:val="zh-CN"/>
        </w:rPr>
      </w:pPr>
      <w:r>
        <w:rPr>
          <w:rFonts w:hint="eastAsia" w:ascii="宋体" w:hAnsi="宋体"/>
          <w:sz w:val="24"/>
        </w:rPr>
        <w:t>根据供应商能力审核的评分、商务评分的分配分值权重进行加权计算，计算出评审的最终综合评估分，并按照从高到低依次进行排名，得出评审结果。</w:t>
      </w:r>
    </w:p>
    <w:p w14:paraId="5AF2B688">
      <w:pPr>
        <w:numPr>
          <w:ilvl w:val="0"/>
          <w:numId w:val="2"/>
        </w:numPr>
        <w:spacing w:line="440" w:lineRule="exact"/>
        <w:rPr>
          <w:rFonts w:hint="eastAsia" w:ascii="宋体" w:hAnsi="宋体"/>
          <w:b/>
          <w:color w:val="FF0000"/>
          <w:sz w:val="28"/>
          <w:szCs w:val="28"/>
          <w:lang w:val="zh-CN"/>
        </w:rPr>
      </w:pPr>
      <w:r>
        <w:rPr>
          <w:rFonts w:hint="eastAsia" w:ascii="宋体" w:hAnsi="宋体"/>
          <w:b/>
          <w:sz w:val="28"/>
          <w:szCs w:val="28"/>
          <w:lang w:val="zh-CN"/>
        </w:rPr>
        <w:t>评标标准</w:t>
      </w:r>
    </w:p>
    <w:p w14:paraId="21F86184">
      <w:pPr>
        <w:numPr>
          <w:ilvl w:val="0"/>
          <w:numId w:val="3"/>
        </w:numPr>
        <w:spacing w:after="156" w:afterLines="50" w:line="440" w:lineRule="exact"/>
        <w:rPr>
          <w:rFonts w:hint="eastAsia" w:ascii="宋体" w:hAnsi="宋体" w:cs="宋体"/>
          <w:b/>
          <w:sz w:val="24"/>
          <w:szCs w:val="24"/>
        </w:rPr>
      </w:pPr>
      <w:r>
        <w:rPr>
          <w:rFonts w:hint="eastAsia" w:ascii="宋体" w:hAnsi="宋体" w:cs="宋体"/>
          <w:b/>
          <w:sz w:val="24"/>
          <w:szCs w:val="24"/>
          <w:lang w:val="zh-CN"/>
        </w:rPr>
        <w:t>供应商资格预审因素分F</w:t>
      </w:r>
      <w:r>
        <w:rPr>
          <w:rFonts w:ascii="宋体" w:hAnsi="宋体" w:cs="宋体"/>
          <w:b/>
          <w:sz w:val="24"/>
          <w:szCs w:val="24"/>
          <w:lang w:val="zh-CN"/>
        </w:rPr>
        <w:t>0</w:t>
      </w:r>
      <w:r>
        <w:rPr>
          <w:rFonts w:hint="eastAsia" w:ascii="宋体" w:hAnsi="宋体" w:cs="宋体"/>
          <w:b/>
          <w:sz w:val="24"/>
          <w:szCs w:val="24"/>
          <w:lang w:val="zh-CN"/>
        </w:rPr>
        <w:t>（满分1</w:t>
      </w:r>
      <w:r>
        <w:rPr>
          <w:rFonts w:ascii="宋体" w:hAnsi="宋体" w:cs="宋体"/>
          <w:b/>
          <w:sz w:val="24"/>
          <w:szCs w:val="24"/>
          <w:lang w:val="zh-CN"/>
        </w:rPr>
        <w:t>00</w:t>
      </w:r>
      <w:r>
        <w:rPr>
          <w:rFonts w:hint="eastAsia" w:ascii="宋体" w:hAnsi="宋体" w:cs="宋体"/>
          <w:b/>
          <w:sz w:val="24"/>
          <w:szCs w:val="24"/>
          <w:lang w:val="zh-CN"/>
        </w:rPr>
        <w:t>分</w:t>
      </w:r>
      <w:r>
        <w:rPr>
          <w:rFonts w:hint="eastAsia" w:ascii="宋体" w:hAnsi="宋体"/>
          <w:b/>
          <w:bCs/>
          <w:sz w:val="24"/>
        </w:rPr>
        <w:t xml:space="preserve">）                                                                                                                     </w:t>
      </w:r>
    </w:p>
    <w:p w14:paraId="2C14DDA8">
      <w:pPr>
        <w:overflowPunct w:val="0"/>
        <w:ind w:firstLine="482" w:firstLineChars="200"/>
        <w:rPr>
          <w:rFonts w:hint="eastAsia" w:ascii="宋体" w:hAnsi="宋体" w:cs="宋体"/>
          <w:b/>
          <w:sz w:val="24"/>
          <w:szCs w:val="24"/>
          <w:lang w:val="en-US" w:eastAsia="zh-CN"/>
        </w:rPr>
      </w:pPr>
      <w:r>
        <w:rPr>
          <w:rFonts w:hint="eastAsia" w:ascii="宋体" w:hAnsi="宋体" w:cs="宋体"/>
          <w:b/>
          <w:sz w:val="24"/>
          <w:szCs w:val="24"/>
          <w:lang w:val="en-US" w:eastAsia="zh-CN"/>
        </w:rPr>
        <w:t>针对本次公开招标项目，将通过资格预审评分，筛选出综合实力前4名投标人作为资格预审入围供应商，进入能力评审环节。若入围供应商在后续评审中出现投标总报价T超过最高限价等投标无效情形，则由资格预审排名第5的投标人替补，以此类推。</w:t>
      </w:r>
    </w:p>
    <w:p w14:paraId="73FEE6B5">
      <w:pPr>
        <w:overflowPunct w:val="0"/>
        <w:ind w:firstLine="482" w:firstLineChars="200"/>
        <w:rPr>
          <w:rFonts w:hint="default" w:ascii="宋体" w:hAnsi="宋体" w:cs="宋体"/>
          <w:b/>
          <w:sz w:val="24"/>
          <w:szCs w:val="24"/>
          <w:lang w:val="en-US" w:eastAsia="zh-CN"/>
        </w:rPr>
      </w:pPr>
    </w:p>
    <w:p w14:paraId="77F1E355">
      <w:pPr>
        <w:numPr>
          <w:ilvl w:val="0"/>
          <w:numId w:val="3"/>
        </w:numPr>
        <w:spacing w:after="156" w:afterLines="50" w:line="440" w:lineRule="exact"/>
        <w:rPr>
          <w:rFonts w:hint="eastAsia" w:ascii="宋体" w:hAnsi="宋体" w:cs="宋体"/>
          <w:b/>
          <w:sz w:val="24"/>
          <w:szCs w:val="24"/>
          <w:lang w:val="zh-CN"/>
        </w:rPr>
      </w:pPr>
      <w:r>
        <w:rPr>
          <w:rFonts w:hint="eastAsia" w:ascii="宋体" w:hAnsi="宋体" w:cs="宋体"/>
          <w:b/>
          <w:sz w:val="24"/>
          <w:szCs w:val="24"/>
        </w:rPr>
        <w:t>供应商能力审核因素分</w:t>
      </w:r>
      <w:r>
        <w:rPr>
          <w:rFonts w:hint="eastAsia" w:ascii="宋体" w:hAnsi="宋体" w:cs="宋体"/>
          <w:b/>
          <w:sz w:val="24"/>
          <w:szCs w:val="24"/>
          <w:lang w:val="zh-CN"/>
        </w:rPr>
        <w:t>F1（满分</w:t>
      </w:r>
      <w:r>
        <w:rPr>
          <w:rFonts w:hint="eastAsia" w:ascii="宋体" w:hAnsi="宋体" w:cs="宋体"/>
          <w:b/>
          <w:sz w:val="24"/>
          <w:szCs w:val="24"/>
        </w:rPr>
        <w:t>100分，综合评审分配分值权重</w:t>
      </w:r>
      <w:r>
        <w:rPr>
          <w:rFonts w:hint="eastAsia" w:ascii="宋体" w:hAnsi="宋体" w:cs="宋体"/>
          <w:b/>
          <w:color w:val="FF0000"/>
          <w:sz w:val="24"/>
          <w:szCs w:val="24"/>
        </w:rPr>
        <w:t>50%</w:t>
      </w:r>
      <w:r>
        <w:rPr>
          <w:rFonts w:hint="eastAsia" w:ascii="宋体" w:hAnsi="宋体" w:cs="宋体"/>
          <w:b/>
          <w:sz w:val="24"/>
          <w:szCs w:val="24"/>
          <w:lang w:val="zh-CN"/>
        </w:rPr>
        <w:t>）</w:t>
      </w:r>
    </w:p>
    <w:p w14:paraId="15AB1E35">
      <w:pPr>
        <w:spacing w:after="156" w:afterLines="50" w:line="440" w:lineRule="exact"/>
        <w:ind w:firstLine="482" w:firstLineChars="200"/>
        <w:rPr>
          <w:rFonts w:hint="eastAsia" w:ascii="宋体" w:hAnsi="宋体" w:cs="宋体"/>
          <w:b/>
          <w:sz w:val="24"/>
          <w:szCs w:val="24"/>
          <w:lang w:val="zh-CN"/>
        </w:rPr>
      </w:pPr>
      <w:r>
        <w:rPr>
          <w:rFonts w:hint="eastAsia" w:ascii="宋体" w:hAnsi="宋体" w:cs="宋体"/>
          <w:b/>
          <w:sz w:val="24"/>
          <w:szCs w:val="24"/>
        </w:rPr>
        <w:t>供应商能力评审项目-</w:t>
      </w:r>
      <w:r>
        <w:rPr>
          <w:rFonts w:hint="eastAsia" w:ascii="宋体" w:hAnsi="宋体" w:cs="宋体"/>
          <w:b/>
          <w:sz w:val="24"/>
          <w:szCs w:val="24"/>
          <w:lang w:eastAsia="zh-CN"/>
        </w:rPr>
        <w:t>资历</w:t>
      </w:r>
      <w:r>
        <w:rPr>
          <w:rFonts w:hint="eastAsia" w:ascii="宋体" w:hAnsi="宋体" w:cs="宋体"/>
          <w:b/>
          <w:sz w:val="24"/>
          <w:szCs w:val="24"/>
        </w:rPr>
        <w:t>Q/服务S，按表一内容及评审分值进行评审，各分项总分均为1</w:t>
      </w:r>
      <w:r>
        <w:rPr>
          <w:rFonts w:ascii="宋体" w:hAnsi="宋体" w:cs="宋体"/>
          <w:b/>
          <w:sz w:val="24"/>
          <w:szCs w:val="24"/>
        </w:rPr>
        <w:t>00</w:t>
      </w:r>
      <w:r>
        <w:rPr>
          <w:rFonts w:hint="eastAsia" w:ascii="宋体" w:hAnsi="宋体" w:cs="宋体"/>
          <w:b/>
          <w:sz w:val="24"/>
          <w:szCs w:val="24"/>
        </w:rPr>
        <w:t>分，最终各分项按分配的分值权重计算汇总为供应商能力评审综合得分项</w:t>
      </w:r>
    </w:p>
    <w:p w14:paraId="60B29811">
      <w:pPr>
        <w:spacing w:after="156" w:afterLines="50" w:line="440" w:lineRule="exact"/>
        <w:rPr>
          <w:rFonts w:hint="eastAsia" w:ascii="宋体" w:hAnsi="宋体" w:cs="宋体"/>
          <w:b/>
          <w:sz w:val="24"/>
          <w:szCs w:val="24"/>
        </w:rPr>
      </w:pPr>
      <w:r>
        <w:rPr>
          <w:rFonts w:hint="eastAsia" w:ascii="宋体" w:hAnsi="宋体" w:cs="宋体"/>
          <w:b/>
          <w:sz w:val="24"/>
          <w:szCs w:val="24"/>
        </w:rPr>
        <w:t>见表一：</w:t>
      </w:r>
      <w:r>
        <w:rPr>
          <w:rFonts w:hint="eastAsia" w:ascii="宋体" w:hAnsi="宋体"/>
          <w:b/>
          <w:sz w:val="24"/>
        </w:rPr>
        <w:t>供应商能力评审</w:t>
      </w:r>
      <w:r>
        <w:rPr>
          <w:rFonts w:hint="eastAsia" w:ascii="宋体" w:hAnsi="宋体" w:cs="宋体"/>
          <w:b/>
          <w:sz w:val="24"/>
          <w:szCs w:val="24"/>
        </w:rPr>
        <w:t>项目/评分标准</w:t>
      </w:r>
    </w:p>
    <w:p w14:paraId="3E80A296">
      <w:pPr>
        <w:spacing w:after="156" w:afterLines="50" w:line="440" w:lineRule="exact"/>
        <w:ind w:firstLine="482" w:firstLineChars="200"/>
        <w:rPr>
          <w:rFonts w:hint="eastAsia" w:ascii="宋体" w:hAnsi="宋体" w:cs="宋体"/>
          <w:b/>
          <w:color w:val="FF0000"/>
          <w:sz w:val="24"/>
          <w:szCs w:val="24"/>
        </w:rPr>
      </w:pPr>
      <w:r>
        <w:rPr>
          <w:rFonts w:hint="eastAsia" w:ascii="宋体" w:hAnsi="宋体" w:cs="宋体"/>
          <w:b/>
          <w:sz w:val="24"/>
          <w:szCs w:val="24"/>
        </w:rPr>
        <w:t>F1=Q</w:t>
      </w:r>
      <w:r>
        <w:rPr>
          <w:rFonts w:hint="eastAsia" w:ascii="宋体" w:hAnsi="宋体" w:cs="宋体"/>
          <w:b/>
          <w:color w:val="FF0000"/>
          <w:sz w:val="24"/>
          <w:szCs w:val="24"/>
        </w:rPr>
        <w:t>*40%</w:t>
      </w:r>
      <w:r>
        <w:rPr>
          <w:rFonts w:hint="eastAsia" w:ascii="宋体" w:hAnsi="宋体" w:cs="宋体"/>
          <w:b/>
          <w:sz w:val="24"/>
          <w:szCs w:val="24"/>
        </w:rPr>
        <w:t>+S</w:t>
      </w:r>
      <w:r>
        <w:rPr>
          <w:rFonts w:hint="eastAsia" w:ascii="宋体" w:hAnsi="宋体" w:cs="宋体"/>
          <w:b/>
          <w:color w:val="FF0000"/>
          <w:sz w:val="24"/>
          <w:szCs w:val="24"/>
        </w:rPr>
        <w:t>*60%</w:t>
      </w:r>
    </w:p>
    <w:p w14:paraId="2D175037">
      <w:pPr>
        <w:numPr>
          <w:ilvl w:val="0"/>
          <w:numId w:val="3"/>
        </w:numPr>
        <w:spacing w:after="156" w:afterLines="50" w:line="440" w:lineRule="exact"/>
        <w:rPr>
          <w:rFonts w:hint="eastAsia" w:ascii="宋体" w:hAnsi="宋体" w:cs="宋体"/>
          <w:b/>
          <w:sz w:val="24"/>
          <w:szCs w:val="24"/>
          <w:lang w:val="zh-CN"/>
        </w:rPr>
      </w:pPr>
      <w:r>
        <w:rPr>
          <w:rFonts w:hint="eastAsia" w:ascii="宋体" w:hAnsi="宋体" w:cs="宋体"/>
          <w:b/>
          <w:sz w:val="24"/>
          <w:szCs w:val="20"/>
        </w:rPr>
        <w:t>商务价格</w:t>
      </w:r>
      <w:r>
        <w:rPr>
          <w:rFonts w:hint="eastAsia" w:ascii="宋体" w:hAnsi="宋体" w:cs="宋体"/>
          <w:b/>
          <w:sz w:val="24"/>
          <w:szCs w:val="20"/>
          <w:lang w:val="zh-CN"/>
        </w:rPr>
        <w:t>因素分F</w:t>
      </w:r>
      <w:r>
        <w:rPr>
          <w:rFonts w:hint="eastAsia" w:ascii="宋体" w:hAnsi="宋体" w:cs="宋体"/>
          <w:b/>
          <w:sz w:val="24"/>
          <w:szCs w:val="20"/>
        </w:rPr>
        <w:t>2</w:t>
      </w:r>
      <w:r>
        <w:rPr>
          <w:rFonts w:hint="eastAsia" w:ascii="宋体" w:hAnsi="宋体" w:cs="宋体"/>
          <w:b/>
          <w:sz w:val="24"/>
          <w:szCs w:val="20"/>
          <w:lang w:val="zh-CN"/>
        </w:rPr>
        <w:t>（满分</w:t>
      </w:r>
      <w:r>
        <w:rPr>
          <w:rFonts w:hint="eastAsia" w:ascii="宋体" w:hAnsi="宋体" w:cs="宋体"/>
          <w:b/>
          <w:sz w:val="24"/>
          <w:szCs w:val="20"/>
        </w:rPr>
        <w:t>100分，</w:t>
      </w:r>
      <w:r>
        <w:rPr>
          <w:rFonts w:hint="eastAsia" w:ascii="宋体" w:hAnsi="宋体" w:cs="宋体"/>
          <w:b/>
          <w:sz w:val="24"/>
          <w:szCs w:val="24"/>
        </w:rPr>
        <w:t>综合评审分配分值权重</w:t>
      </w:r>
      <w:r>
        <w:rPr>
          <w:rFonts w:hint="eastAsia" w:ascii="宋体" w:hAnsi="宋体" w:cs="宋体"/>
          <w:b/>
          <w:color w:val="FF0000"/>
          <w:sz w:val="24"/>
          <w:szCs w:val="24"/>
        </w:rPr>
        <w:t>50%</w:t>
      </w:r>
      <w:r>
        <w:rPr>
          <w:rFonts w:hint="eastAsia" w:ascii="宋体" w:hAnsi="宋体" w:cs="宋体"/>
          <w:b/>
          <w:sz w:val="24"/>
          <w:szCs w:val="20"/>
        </w:rPr>
        <w:t>）</w:t>
      </w:r>
    </w:p>
    <w:p w14:paraId="4BA8E987">
      <w:pPr>
        <w:spacing w:after="156" w:afterLines="50" w:line="440" w:lineRule="exact"/>
        <w:rPr>
          <w:rFonts w:hint="eastAsia" w:ascii="宋体" w:hAnsi="宋体" w:cs="宋体"/>
          <w:b/>
          <w:sz w:val="24"/>
          <w:szCs w:val="24"/>
        </w:rPr>
      </w:pPr>
      <w:r>
        <w:rPr>
          <w:rFonts w:hint="eastAsia" w:ascii="宋体" w:hAnsi="宋体" w:cs="宋体"/>
          <w:b/>
          <w:sz w:val="24"/>
          <w:szCs w:val="24"/>
        </w:rPr>
        <w:t>见表二：供应商商务价格评审项目/评分标准</w:t>
      </w:r>
    </w:p>
    <w:p w14:paraId="5D0ACC07">
      <w:pPr>
        <w:spacing w:after="156" w:afterLines="50" w:line="440" w:lineRule="exact"/>
        <w:rPr>
          <w:rFonts w:hint="eastAsia" w:ascii="宋体" w:hAnsi="宋体" w:cs="宋体"/>
          <w:b/>
          <w:color w:val="FF0000"/>
          <w:sz w:val="24"/>
          <w:szCs w:val="24"/>
          <w:highlight w:val="none"/>
        </w:rPr>
      </w:pPr>
      <w:r>
        <w:rPr>
          <w:rFonts w:hint="eastAsia" w:ascii="宋体" w:hAnsi="宋体" w:cs="宋体"/>
          <w:b/>
          <w:color w:val="FF0000"/>
          <w:sz w:val="24"/>
          <w:szCs w:val="24"/>
          <w:highlight w:val="none"/>
        </w:rPr>
        <w:t>比值法：满足招标文件要求且投标价格最低的投标报价作为评标基准价，其价格</w:t>
      </w:r>
      <w:bookmarkStart w:id="10" w:name="_GoBack"/>
      <w:bookmarkEnd w:id="10"/>
      <w:r>
        <w:rPr>
          <w:rFonts w:hint="eastAsia" w:ascii="宋体" w:hAnsi="宋体" w:cs="宋体"/>
          <w:b/>
          <w:color w:val="FF0000"/>
          <w:sz w:val="24"/>
          <w:szCs w:val="24"/>
          <w:highlight w:val="none"/>
        </w:rPr>
        <w:t>分为满分；投标报价得分=（评标基准价/投标报价）*100</w:t>
      </w:r>
    </w:p>
    <w:p w14:paraId="165A57E0">
      <w:pPr>
        <w:numPr>
          <w:ilvl w:val="0"/>
          <w:numId w:val="3"/>
        </w:numPr>
        <w:spacing w:after="156" w:afterLines="50" w:line="440" w:lineRule="exact"/>
        <w:rPr>
          <w:rFonts w:hint="eastAsia" w:ascii="宋体" w:hAnsi="宋体" w:cs="宋体"/>
          <w:b/>
          <w:sz w:val="24"/>
          <w:szCs w:val="24"/>
          <w:lang w:val="zh-CN"/>
        </w:rPr>
      </w:pPr>
      <w:r>
        <w:rPr>
          <w:rFonts w:hint="eastAsia" w:ascii="宋体" w:hAnsi="宋体" w:cs="宋体"/>
          <w:b/>
          <w:sz w:val="24"/>
          <w:lang w:val="zh-CN"/>
        </w:rPr>
        <w:t>评标</w:t>
      </w:r>
      <w:r>
        <w:rPr>
          <w:rFonts w:hint="eastAsia" w:ascii="宋体" w:hAnsi="宋体" w:cs="宋体"/>
          <w:b/>
          <w:sz w:val="24"/>
        </w:rPr>
        <w:t>综合</w:t>
      </w:r>
      <w:r>
        <w:rPr>
          <w:rFonts w:hint="eastAsia" w:ascii="宋体" w:hAnsi="宋体" w:cs="宋体"/>
          <w:b/>
          <w:sz w:val="24"/>
          <w:lang w:val="zh-CN"/>
        </w:rPr>
        <w:t>得分汇总</w:t>
      </w:r>
    </w:p>
    <w:p w14:paraId="5E4D3566">
      <w:pPr>
        <w:tabs>
          <w:tab w:val="left" w:pos="0"/>
        </w:tabs>
        <w:spacing w:line="500" w:lineRule="exact"/>
        <w:ind w:firstLine="460" w:firstLineChars="192"/>
        <w:rPr>
          <w:rFonts w:hint="eastAsia" w:ascii="宋体" w:hAnsi="宋体" w:cs="宋体"/>
          <w:b/>
          <w:sz w:val="24"/>
          <w:szCs w:val="20"/>
        </w:rPr>
      </w:pPr>
      <w:r>
        <w:rPr>
          <w:rFonts w:hint="eastAsia" w:ascii="宋体" w:hAnsi="宋体"/>
          <w:kern w:val="0"/>
          <w:sz w:val="24"/>
        </w:rPr>
        <w:t>各部分评分分值分布及评分标准如下:对评委的供应商能力部分、商务部分评分结果进行统计时，将以算术平均计算各有效投标人的能力、商务最终得分，各项分数均保留至小数点后2位数（第3位四舍五入）。</w:t>
      </w:r>
      <w:r>
        <w:rPr>
          <w:rFonts w:hint="eastAsia" w:ascii="宋体" w:hAnsi="宋体"/>
          <w:b/>
          <w:sz w:val="24"/>
        </w:rPr>
        <w:t>综合得分＝F1*</w:t>
      </w:r>
      <w:r>
        <w:rPr>
          <w:rFonts w:hint="eastAsia" w:ascii="宋体" w:hAnsi="宋体"/>
          <w:b/>
          <w:color w:val="FF0000"/>
          <w:sz w:val="24"/>
        </w:rPr>
        <w:t>50%</w:t>
      </w:r>
      <w:r>
        <w:rPr>
          <w:rFonts w:hint="eastAsia" w:ascii="宋体" w:hAnsi="宋体"/>
          <w:b/>
          <w:sz w:val="24"/>
        </w:rPr>
        <w:t>+ F2*</w:t>
      </w:r>
      <w:r>
        <w:rPr>
          <w:rFonts w:hint="eastAsia" w:ascii="宋体" w:hAnsi="宋体"/>
          <w:b/>
          <w:color w:val="FF0000"/>
          <w:sz w:val="24"/>
        </w:rPr>
        <w:t>50%</w:t>
      </w:r>
    </w:p>
    <w:p w14:paraId="795C0505">
      <w:pPr>
        <w:numPr>
          <w:ilvl w:val="0"/>
          <w:numId w:val="3"/>
        </w:numPr>
        <w:spacing w:after="156" w:afterLines="50" w:line="440" w:lineRule="exact"/>
        <w:rPr>
          <w:rFonts w:hint="eastAsia" w:ascii="宋体" w:hAnsi="宋体" w:cs="宋体"/>
          <w:b/>
          <w:sz w:val="24"/>
          <w:szCs w:val="24"/>
          <w:lang w:val="zh-CN"/>
        </w:rPr>
      </w:pPr>
      <w:r>
        <w:rPr>
          <w:rFonts w:ascii="宋体" w:hAnsi="宋体" w:cs="宋体"/>
          <w:b/>
          <w:sz w:val="24"/>
          <w:lang w:val="zh-CN"/>
        </w:rPr>
        <w:t>推荐</w:t>
      </w:r>
      <w:r>
        <w:rPr>
          <w:rFonts w:hint="eastAsia" w:ascii="宋体" w:hAnsi="宋体" w:cs="宋体"/>
          <w:b/>
          <w:sz w:val="24"/>
          <w:lang w:val="zh-CN"/>
        </w:rPr>
        <w:t>中标候选人</w:t>
      </w:r>
      <w:r>
        <w:rPr>
          <w:rFonts w:ascii="宋体" w:hAnsi="宋体" w:cs="宋体"/>
          <w:b/>
          <w:sz w:val="24"/>
          <w:lang w:val="zh-CN"/>
        </w:rPr>
        <w:t>名单</w:t>
      </w:r>
    </w:p>
    <w:p w14:paraId="5A3981CF">
      <w:pPr>
        <w:spacing w:before="156" w:beforeLines="50" w:line="360" w:lineRule="auto"/>
        <w:ind w:firstLine="475" w:firstLineChars="198"/>
        <w:rPr>
          <w:rFonts w:hint="default" w:ascii="宋体" w:hAnsi="宋体" w:cs="宋体"/>
          <w:b/>
          <w:sz w:val="24"/>
          <w:lang w:val="en-US"/>
        </w:rPr>
      </w:pPr>
      <w:r>
        <w:rPr>
          <w:rFonts w:ascii="宋体" w:hAnsi="宋体" w:cs="宋体"/>
          <w:sz w:val="24"/>
        </w:rPr>
        <w:t>1、</w:t>
      </w:r>
      <w:r>
        <w:rPr>
          <w:rFonts w:hint="eastAsia" w:ascii="宋体" w:hAnsi="宋体" w:cs="宋体"/>
          <w:sz w:val="24"/>
        </w:rPr>
        <w:t>项目或各标段的中标候选人</w:t>
      </w:r>
      <w:r>
        <w:rPr>
          <w:rFonts w:ascii="宋体" w:hAnsi="宋体" w:cs="宋体"/>
          <w:sz w:val="24"/>
        </w:rPr>
        <w:t>数量：</w:t>
      </w:r>
      <w:r>
        <w:rPr>
          <w:rFonts w:ascii="宋体" w:hAnsi="宋体" w:cs="宋体"/>
          <w:b/>
          <w:sz w:val="24"/>
          <w:u w:val="single"/>
        </w:rPr>
        <w:t xml:space="preserve"> </w:t>
      </w:r>
      <w:r>
        <w:rPr>
          <w:rFonts w:ascii="宋体" w:hAnsi="宋体" w:cs="宋体"/>
          <w:b/>
          <w:sz w:val="24"/>
          <w:highlight w:val="none"/>
          <w:u w:val="single"/>
        </w:rPr>
        <w:t xml:space="preserve">1-3 </w:t>
      </w:r>
      <w:r>
        <w:rPr>
          <w:rFonts w:ascii="宋体" w:hAnsi="宋体" w:cs="宋体"/>
          <w:sz w:val="24"/>
        </w:rPr>
        <w:t>个。</w:t>
      </w:r>
    </w:p>
    <w:p w14:paraId="6B35B8BD">
      <w:pPr>
        <w:spacing w:line="360" w:lineRule="auto"/>
        <w:ind w:firstLine="504" w:firstLineChars="210"/>
        <w:rPr>
          <w:rFonts w:hint="eastAsia" w:ascii="宋体" w:hAnsi="宋体" w:cs="宋体"/>
          <w:bCs/>
          <w:sz w:val="24"/>
        </w:rPr>
      </w:pPr>
      <w:r>
        <w:rPr>
          <w:rFonts w:ascii="宋体" w:hAnsi="宋体" w:cs="宋体"/>
          <w:sz w:val="24"/>
        </w:rPr>
        <w:t>2、</w:t>
      </w:r>
      <w:r>
        <w:rPr>
          <w:rFonts w:hint="eastAsia" w:ascii="宋体" w:hAnsi="宋体" w:cs="宋体"/>
          <w:sz w:val="24"/>
        </w:rPr>
        <w:t>中标候选人</w:t>
      </w:r>
      <w:r>
        <w:rPr>
          <w:rFonts w:ascii="宋体" w:hAnsi="宋体" w:cs="宋体"/>
          <w:sz w:val="24"/>
        </w:rPr>
        <w:t>排列顺序。经投标文件</w:t>
      </w:r>
      <w:r>
        <w:rPr>
          <w:rFonts w:hint="eastAsia" w:ascii="宋体" w:hAnsi="宋体"/>
          <w:sz w:val="24"/>
        </w:rPr>
        <w:t>资格审核</w:t>
      </w:r>
      <w:r>
        <w:rPr>
          <w:rFonts w:ascii="宋体" w:hAnsi="宋体" w:cs="宋体"/>
          <w:sz w:val="24"/>
        </w:rPr>
        <w:t>、澄清有关问题、比较与评价评标程序后，按以下办法推荐</w:t>
      </w:r>
      <w:r>
        <w:rPr>
          <w:rFonts w:hint="eastAsia" w:ascii="宋体" w:hAnsi="宋体" w:cs="宋体"/>
          <w:sz w:val="24"/>
        </w:rPr>
        <w:t>中标候选人</w:t>
      </w:r>
      <w:r>
        <w:rPr>
          <w:rFonts w:ascii="宋体" w:hAnsi="宋体" w:cs="宋体"/>
          <w:sz w:val="24"/>
        </w:rPr>
        <w:t>名单的排列顺序</w:t>
      </w:r>
      <w:r>
        <w:rPr>
          <w:rFonts w:ascii="宋体" w:hAnsi="宋体" w:cs="宋体"/>
          <w:bCs/>
          <w:sz w:val="24"/>
        </w:rPr>
        <w:t>，按评审后综合得分由高到低顺序排列</w:t>
      </w:r>
      <w:r>
        <w:rPr>
          <w:rFonts w:hint="eastAsia" w:ascii="宋体" w:hAnsi="宋体" w:cs="宋体"/>
          <w:bCs/>
          <w:sz w:val="24"/>
        </w:rPr>
        <w:t>；综合</w:t>
      </w:r>
      <w:r>
        <w:rPr>
          <w:rFonts w:ascii="宋体" w:hAnsi="宋体" w:cs="宋体"/>
          <w:bCs/>
          <w:sz w:val="24"/>
        </w:rPr>
        <w:t>得分相同的，按投标报价由低到高顺序排列</w:t>
      </w:r>
      <w:r>
        <w:rPr>
          <w:rFonts w:hint="eastAsia" w:ascii="宋体" w:hAnsi="宋体" w:cs="宋体"/>
          <w:bCs/>
          <w:sz w:val="24"/>
        </w:rPr>
        <w:t>；综合</w:t>
      </w:r>
      <w:r>
        <w:rPr>
          <w:rFonts w:ascii="宋体" w:hAnsi="宋体" w:cs="宋体"/>
          <w:bCs/>
          <w:sz w:val="24"/>
        </w:rPr>
        <w:t>得分且投标报价相同的，按</w:t>
      </w:r>
      <w:r>
        <w:rPr>
          <w:rFonts w:hint="eastAsia" w:ascii="宋体" w:hAnsi="宋体" w:cs="宋体"/>
          <w:bCs/>
          <w:sz w:val="24"/>
        </w:rPr>
        <w:t>资格审核</w:t>
      </w:r>
      <w:r>
        <w:rPr>
          <w:rFonts w:ascii="宋体" w:hAnsi="宋体" w:cs="宋体"/>
          <w:bCs/>
          <w:sz w:val="24"/>
        </w:rPr>
        <w:t>得分由高到低顺序排列</w:t>
      </w:r>
      <w:r>
        <w:rPr>
          <w:rFonts w:hint="eastAsia" w:ascii="宋体" w:hAnsi="宋体" w:cs="宋体"/>
          <w:bCs/>
          <w:sz w:val="24"/>
        </w:rPr>
        <w:t>。</w:t>
      </w:r>
    </w:p>
    <w:p w14:paraId="06FD2300">
      <w:pPr>
        <w:spacing w:before="156" w:beforeLines="50" w:line="360" w:lineRule="auto"/>
        <w:rPr>
          <w:rFonts w:hint="eastAsia" w:ascii="宋体" w:hAnsi="宋体"/>
          <w:b/>
          <w:sz w:val="28"/>
          <w:szCs w:val="28"/>
          <w:lang w:val="zh-CN"/>
        </w:rPr>
      </w:pPr>
      <w:r>
        <w:rPr>
          <w:rFonts w:ascii="宋体" w:hAnsi="宋体"/>
          <w:b/>
          <w:sz w:val="28"/>
          <w:szCs w:val="28"/>
          <w:lang w:val="zh-CN"/>
        </w:rPr>
        <w:t>三、定标原则：确定中标供应商数量：</w:t>
      </w:r>
      <w:r>
        <w:rPr>
          <w:rFonts w:ascii="宋体" w:hAnsi="宋体"/>
          <w:b/>
          <w:sz w:val="28"/>
          <w:szCs w:val="28"/>
          <w:highlight w:val="none"/>
          <w:u w:val="single"/>
          <w:lang w:val="zh-CN"/>
        </w:rPr>
        <w:t xml:space="preserve"> </w:t>
      </w:r>
      <w:r>
        <w:rPr>
          <w:rFonts w:ascii="宋体" w:hAnsi="宋体"/>
          <w:b/>
          <w:sz w:val="28"/>
          <w:szCs w:val="28"/>
          <w:highlight w:val="none"/>
          <w:u w:val="single"/>
        </w:rPr>
        <w:t>1</w:t>
      </w:r>
      <w:r>
        <w:rPr>
          <w:rFonts w:ascii="宋体" w:hAnsi="宋体"/>
          <w:b/>
          <w:sz w:val="28"/>
          <w:szCs w:val="28"/>
          <w:u w:val="single"/>
          <w:lang w:val="zh-CN"/>
        </w:rPr>
        <w:t xml:space="preserve"> </w:t>
      </w:r>
      <w:r>
        <w:rPr>
          <w:rFonts w:ascii="宋体" w:hAnsi="宋体"/>
          <w:b/>
          <w:sz w:val="28"/>
          <w:szCs w:val="28"/>
          <w:lang w:val="zh-CN"/>
        </w:rPr>
        <w:t>个</w:t>
      </w:r>
      <w:r>
        <w:rPr>
          <w:rFonts w:hint="eastAsia" w:ascii="宋体" w:hAnsi="宋体"/>
          <w:b/>
          <w:sz w:val="28"/>
          <w:szCs w:val="28"/>
          <w:lang w:val="zh-CN"/>
        </w:rPr>
        <w:t>，为第一中标人</w:t>
      </w:r>
      <w:r>
        <w:rPr>
          <w:rFonts w:ascii="宋体" w:hAnsi="宋体"/>
          <w:b/>
          <w:sz w:val="28"/>
          <w:szCs w:val="28"/>
          <w:lang w:val="zh-CN"/>
        </w:rPr>
        <w:t>。</w:t>
      </w:r>
    </w:p>
    <w:p w14:paraId="38345FB0">
      <w:pPr>
        <w:spacing w:line="360" w:lineRule="auto"/>
        <w:ind w:firstLine="482" w:firstLineChars="200"/>
        <w:rPr>
          <w:b/>
          <w:bCs/>
          <w:sz w:val="24"/>
          <w:szCs w:val="24"/>
        </w:rPr>
      </w:pPr>
      <w:r>
        <w:rPr>
          <w:rFonts w:hint="eastAsia"/>
          <w:b/>
          <w:bCs/>
          <w:sz w:val="24"/>
          <w:szCs w:val="24"/>
        </w:rPr>
        <w:t>招标方根据评标报告向需求公司提报评标结果以及应用方案，经需求公司审批后确定中标人。定标的最终解释权和自主权为招标方需求公司。</w:t>
      </w:r>
    </w:p>
    <w:p w14:paraId="5DC3D723">
      <w:pPr>
        <w:spacing w:line="360" w:lineRule="auto"/>
        <w:ind w:firstLine="482" w:firstLineChars="200"/>
        <w:rPr>
          <w:b/>
          <w:bCs/>
          <w:sz w:val="24"/>
          <w:szCs w:val="24"/>
        </w:rPr>
      </w:pPr>
      <w:r>
        <w:rPr>
          <w:rFonts w:hint="eastAsia"/>
          <w:b/>
          <w:bCs/>
          <w:sz w:val="24"/>
          <w:szCs w:val="24"/>
        </w:rPr>
        <w:t>如有必要招标方可决定到中标候选人处对招标文件要求进行实地评审和确认，投标方应予以配合，对存在投标方实际情况与投标文件不一致的，招标方有权中止招标程序及中标人相应合同，启用备选中标人执行或重新招标。</w:t>
      </w:r>
    </w:p>
    <w:p w14:paraId="7502A868">
      <w:pPr>
        <w:spacing w:line="360" w:lineRule="auto"/>
        <w:ind w:firstLine="482" w:firstLineChars="200"/>
        <w:rPr>
          <w:rFonts w:hint="eastAsia" w:hAnsi="宋体"/>
          <w:b/>
          <w:bCs/>
          <w:sz w:val="24"/>
          <w:szCs w:val="24"/>
        </w:rPr>
      </w:pPr>
      <w:r>
        <w:rPr>
          <w:rFonts w:hint="eastAsia" w:hAnsi="宋体"/>
          <w:b/>
          <w:bCs/>
          <w:sz w:val="24"/>
          <w:szCs w:val="24"/>
        </w:rPr>
        <w:t>在中标人无法通过现场审核或正常签订及履行合同的情况下，采购人有权依照中标候选人名单排序顺延其他中标候选人为中标人或者重新组织招标</w:t>
      </w:r>
      <w:r>
        <w:rPr>
          <w:rFonts w:hint="eastAsia" w:ascii="宋体" w:hAnsi="宋体" w:cs="宋体"/>
          <w:b/>
          <w:bCs/>
          <w:sz w:val="24"/>
          <w:szCs w:val="24"/>
        </w:rPr>
        <w:t>。</w:t>
      </w:r>
      <w:r>
        <w:rPr>
          <w:b/>
          <w:bCs/>
          <w:sz w:val="24"/>
          <w:szCs w:val="24"/>
        </w:rPr>
        <w:t>投标人参与本项目的投标，即视为同意上述</w:t>
      </w:r>
      <w:r>
        <w:rPr>
          <w:rFonts w:hint="eastAsia"/>
          <w:b/>
          <w:bCs/>
          <w:sz w:val="24"/>
          <w:szCs w:val="24"/>
        </w:rPr>
        <w:t>定标方式。</w:t>
      </w:r>
    </w:p>
    <w:p w14:paraId="020382CA">
      <w:pPr>
        <w:sectPr>
          <w:pgSz w:w="11906" w:h="16838"/>
          <w:pgMar w:top="1440" w:right="1800" w:bottom="1440" w:left="1800" w:header="851" w:footer="992" w:gutter="0"/>
          <w:cols w:space="425" w:num="1"/>
          <w:docGrid w:type="lines" w:linePitch="312" w:charSpace="0"/>
        </w:sectPr>
      </w:pPr>
    </w:p>
    <w:p w14:paraId="0F5669C0">
      <w:pPr>
        <w:rPr>
          <w:rFonts w:hint="eastAsia" w:ascii="等线" w:hAnsi="等线" w:eastAsia="等线"/>
          <w:b/>
          <w:bCs/>
          <w:highlight w:val="yellow"/>
        </w:rPr>
      </w:pPr>
      <w:r>
        <w:rPr>
          <w:rFonts w:hint="eastAsia" w:ascii="等线" w:hAnsi="等线" w:eastAsia="等线"/>
          <w:b/>
          <w:bCs/>
        </w:rPr>
        <w:t>表0：供应商资格预审项目/评分标准</w:t>
      </w:r>
    </w:p>
    <w:p w14:paraId="71076CC5">
      <w:pPr>
        <w:rPr>
          <w:rFonts w:hint="eastAsia" w:ascii="等线" w:hAnsi="等线" w:eastAsia="等线"/>
          <w:b/>
          <w:bCs/>
          <w:highlight w:val="yellow"/>
        </w:rPr>
      </w:pPr>
    </w:p>
    <w:tbl>
      <w:tblPr>
        <w:tblStyle w:val="9"/>
        <w:tblW w:w="2806" w:type="pct"/>
        <w:jc w:val="center"/>
        <w:tblLayout w:type="autofit"/>
        <w:tblCellMar>
          <w:top w:w="0" w:type="dxa"/>
          <w:left w:w="108" w:type="dxa"/>
          <w:bottom w:w="0" w:type="dxa"/>
          <w:right w:w="108" w:type="dxa"/>
        </w:tblCellMar>
      </w:tblPr>
      <w:tblGrid>
        <w:gridCol w:w="377"/>
        <w:gridCol w:w="989"/>
        <w:gridCol w:w="1737"/>
        <w:gridCol w:w="570"/>
        <w:gridCol w:w="3489"/>
        <w:gridCol w:w="1492"/>
      </w:tblGrid>
      <w:tr w14:paraId="454EC7FF">
        <w:tblPrEx>
          <w:tblCellMar>
            <w:top w:w="0" w:type="dxa"/>
            <w:left w:w="108" w:type="dxa"/>
            <w:bottom w:w="0" w:type="dxa"/>
            <w:right w:w="108" w:type="dxa"/>
          </w:tblCellMar>
        </w:tblPrEx>
        <w:trPr>
          <w:trHeight w:val="315" w:hRule="atLeast"/>
          <w:jc w:val="center"/>
        </w:trPr>
        <w:tc>
          <w:tcPr>
            <w:tcW w:w="218" w:type="pct"/>
            <w:tcBorders>
              <w:top w:val="single" w:color="auto" w:sz="4" w:space="0"/>
              <w:left w:val="single" w:color="auto" w:sz="4" w:space="0"/>
              <w:bottom w:val="single" w:color="auto" w:sz="4" w:space="0"/>
              <w:right w:val="single" w:color="auto" w:sz="4" w:space="0"/>
            </w:tcBorders>
            <w:vAlign w:val="center"/>
          </w:tcPr>
          <w:p w14:paraId="4B5EE324">
            <w:pPr>
              <w:widowControl/>
              <w:spacing w:line="200" w:lineRule="exact"/>
              <w:jc w:val="center"/>
              <w:rPr>
                <w:rFonts w:hint="eastAsia" w:ascii="等线" w:hAnsi="等线" w:eastAsia="等线" w:cs="宋体"/>
                <w:b/>
                <w:bCs/>
                <w:color w:val="000000"/>
                <w:kern w:val="0"/>
                <w:sz w:val="15"/>
                <w:szCs w:val="15"/>
              </w:rPr>
            </w:pPr>
            <w:r>
              <w:rPr>
                <w:rFonts w:hint="eastAsia" w:ascii="等线" w:hAnsi="等线" w:eastAsia="等线" w:cs="宋体"/>
                <w:b/>
                <w:bCs/>
                <w:color w:val="000000"/>
                <w:kern w:val="0"/>
                <w:sz w:val="15"/>
                <w:szCs w:val="15"/>
              </w:rPr>
              <w:t>序</w:t>
            </w:r>
          </w:p>
        </w:tc>
        <w:tc>
          <w:tcPr>
            <w:tcW w:w="571" w:type="pct"/>
            <w:tcBorders>
              <w:top w:val="single" w:color="auto" w:sz="4" w:space="0"/>
              <w:left w:val="nil"/>
              <w:bottom w:val="single" w:color="auto" w:sz="4" w:space="0"/>
              <w:right w:val="single" w:color="auto" w:sz="4" w:space="0"/>
            </w:tcBorders>
            <w:vAlign w:val="center"/>
          </w:tcPr>
          <w:p w14:paraId="49D6ADD6">
            <w:pPr>
              <w:widowControl/>
              <w:spacing w:line="200" w:lineRule="exact"/>
              <w:jc w:val="center"/>
              <w:rPr>
                <w:rFonts w:hint="eastAsia" w:ascii="等线" w:hAnsi="等线" w:eastAsia="等线" w:cs="宋体"/>
                <w:b/>
                <w:bCs/>
                <w:color w:val="000000"/>
                <w:kern w:val="0"/>
                <w:sz w:val="15"/>
                <w:szCs w:val="15"/>
              </w:rPr>
            </w:pPr>
            <w:r>
              <w:rPr>
                <w:rFonts w:hint="eastAsia" w:ascii="等线" w:hAnsi="等线" w:eastAsia="等线" w:cs="宋体"/>
                <w:b/>
                <w:bCs/>
                <w:color w:val="000000"/>
                <w:kern w:val="0"/>
                <w:sz w:val="15"/>
                <w:szCs w:val="15"/>
              </w:rPr>
              <w:t>评审方向</w:t>
            </w:r>
          </w:p>
        </w:tc>
        <w:tc>
          <w:tcPr>
            <w:tcW w:w="1003" w:type="pct"/>
            <w:tcBorders>
              <w:top w:val="single" w:color="auto" w:sz="4" w:space="0"/>
              <w:left w:val="nil"/>
              <w:bottom w:val="single" w:color="auto" w:sz="4" w:space="0"/>
              <w:right w:val="single" w:color="auto" w:sz="4" w:space="0"/>
            </w:tcBorders>
            <w:vAlign w:val="center"/>
          </w:tcPr>
          <w:p w14:paraId="7E28AD08">
            <w:pPr>
              <w:widowControl/>
              <w:spacing w:line="200" w:lineRule="exact"/>
              <w:jc w:val="center"/>
              <w:rPr>
                <w:rFonts w:hint="eastAsia" w:ascii="等线" w:hAnsi="等线" w:eastAsia="等线" w:cs="宋体"/>
                <w:b/>
                <w:bCs/>
                <w:color w:val="000000"/>
                <w:kern w:val="0"/>
                <w:sz w:val="15"/>
                <w:szCs w:val="15"/>
              </w:rPr>
            </w:pPr>
            <w:r>
              <w:rPr>
                <w:rFonts w:hint="eastAsia" w:ascii="等线" w:hAnsi="等线" w:eastAsia="等线" w:cs="宋体"/>
                <w:b/>
                <w:bCs/>
                <w:color w:val="000000"/>
                <w:kern w:val="0"/>
                <w:sz w:val="15"/>
                <w:szCs w:val="15"/>
              </w:rPr>
              <w:t>评审内容</w:t>
            </w:r>
          </w:p>
        </w:tc>
        <w:tc>
          <w:tcPr>
            <w:tcW w:w="329" w:type="pct"/>
            <w:tcBorders>
              <w:top w:val="single" w:color="auto" w:sz="4" w:space="0"/>
              <w:left w:val="nil"/>
              <w:bottom w:val="single" w:color="auto" w:sz="4" w:space="0"/>
              <w:right w:val="single" w:color="auto" w:sz="4" w:space="0"/>
            </w:tcBorders>
            <w:vAlign w:val="center"/>
          </w:tcPr>
          <w:p w14:paraId="09E9343D">
            <w:pPr>
              <w:widowControl/>
              <w:spacing w:line="200" w:lineRule="exact"/>
              <w:jc w:val="center"/>
              <w:rPr>
                <w:rFonts w:hint="eastAsia" w:ascii="等线" w:hAnsi="等线" w:eastAsia="等线" w:cs="宋体"/>
                <w:b/>
                <w:bCs/>
                <w:color w:val="000000"/>
                <w:kern w:val="0"/>
                <w:sz w:val="15"/>
                <w:szCs w:val="15"/>
              </w:rPr>
            </w:pPr>
            <w:r>
              <w:rPr>
                <w:rFonts w:hint="eastAsia" w:ascii="等线" w:hAnsi="等线" w:eastAsia="等线" w:cs="宋体"/>
                <w:b/>
                <w:bCs/>
                <w:color w:val="000000"/>
                <w:kern w:val="0"/>
                <w:sz w:val="15"/>
                <w:szCs w:val="15"/>
              </w:rPr>
              <w:t>分值占比</w:t>
            </w:r>
          </w:p>
        </w:tc>
        <w:tc>
          <w:tcPr>
            <w:tcW w:w="2015" w:type="pct"/>
            <w:tcBorders>
              <w:top w:val="single" w:color="auto" w:sz="4" w:space="0"/>
              <w:left w:val="nil"/>
              <w:bottom w:val="single" w:color="auto" w:sz="4" w:space="0"/>
              <w:right w:val="single" w:color="auto" w:sz="4" w:space="0"/>
            </w:tcBorders>
            <w:vAlign w:val="center"/>
          </w:tcPr>
          <w:p w14:paraId="795FA572">
            <w:pPr>
              <w:widowControl/>
              <w:spacing w:line="200" w:lineRule="exact"/>
              <w:jc w:val="center"/>
              <w:rPr>
                <w:rFonts w:hint="eastAsia" w:ascii="等线" w:hAnsi="等线" w:eastAsia="等线" w:cs="宋体"/>
                <w:b/>
                <w:bCs/>
                <w:color w:val="000000"/>
                <w:kern w:val="0"/>
                <w:sz w:val="15"/>
                <w:szCs w:val="15"/>
              </w:rPr>
            </w:pPr>
            <w:r>
              <w:rPr>
                <w:rFonts w:hint="eastAsia" w:ascii="等线" w:hAnsi="等线" w:eastAsia="等线" w:cs="宋体"/>
                <w:b/>
                <w:bCs/>
                <w:color w:val="000000"/>
                <w:kern w:val="0"/>
                <w:sz w:val="15"/>
                <w:szCs w:val="15"/>
              </w:rPr>
              <w:t>说明</w:t>
            </w:r>
          </w:p>
        </w:tc>
        <w:tc>
          <w:tcPr>
            <w:tcW w:w="862" w:type="pct"/>
            <w:tcBorders>
              <w:top w:val="single" w:color="auto" w:sz="4" w:space="0"/>
              <w:left w:val="nil"/>
              <w:bottom w:val="single" w:color="auto" w:sz="4" w:space="0"/>
              <w:right w:val="single" w:color="auto" w:sz="4" w:space="0"/>
            </w:tcBorders>
            <w:vAlign w:val="center"/>
          </w:tcPr>
          <w:p w14:paraId="575AD7B5">
            <w:pPr>
              <w:widowControl/>
              <w:spacing w:line="200" w:lineRule="exact"/>
              <w:jc w:val="center"/>
              <w:rPr>
                <w:rFonts w:hint="eastAsia" w:ascii="等线" w:hAnsi="等线" w:eastAsia="等线" w:cs="宋体"/>
                <w:b/>
                <w:bCs/>
                <w:color w:val="000000"/>
                <w:kern w:val="0"/>
                <w:sz w:val="15"/>
                <w:szCs w:val="15"/>
              </w:rPr>
            </w:pPr>
            <w:r>
              <w:rPr>
                <w:rFonts w:hint="eastAsia" w:ascii="等线" w:hAnsi="等线" w:eastAsia="等线" w:cs="宋体"/>
                <w:b/>
                <w:bCs/>
                <w:color w:val="000000"/>
                <w:kern w:val="0"/>
                <w:sz w:val="15"/>
                <w:szCs w:val="15"/>
              </w:rPr>
              <w:t>备注</w:t>
            </w:r>
          </w:p>
        </w:tc>
      </w:tr>
      <w:tr w14:paraId="10F0B7E1">
        <w:tblPrEx>
          <w:tblCellMar>
            <w:top w:w="0" w:type="dxa"/>
            <w:left w:w="108" w:type="dxa"/>
            <w:bottom w:w="0" w:type="dxa"/>
            <w:right w:w="108" w:type="dxa"/>
          </w:tblCellMar>
        </w:tblPrEx>
        <w:trPr>
          <w:trHeight w:val="423" w:hRule="atLeast"/>
          <w:jc w:val="center"/>
        </w:trPr>
        <w:tc>
          <w:tcPr>
            <w:tcW w:w="218" w:type="pct"/>
            <w:vMerge w:val="restart"/>
            <w:tcBorders>
              <w:top w:val="nil"/>
              <w:left w:val="single" w:color="auto" w:sz="4" w:space="0"/>
              <w:bottom w:val="single" w:color="auto" w:sz="4" w:space="0"/>
              <w:right w:val="single" w:color="auto" w:sz="4" w:space="0"/>
            </w:tcBorders>
            <w:vAlign w:val="center"/>
          </w:tcPr>
          <w:p w14:paraId="7E0DAC19">
            <w:pPr>
              <w:widowControl/>
              <w:spacing w:line="240" w:lineRule="exact"/>
              <w:jc w:val="center"/>
              <w:rPr>
                <w:rFonts w:hint="eastAsia" w:ascii="等线" w:hAnsi="等线" w:eastAsia="等线" w:cs="宋体"/>
                <w:b/>
                <w:bCs/>
                <w:color w:val="000000"/>
                <w:kern w:val="0"/>
                <w:sz w:val="15"/>
                <w:szCs w:val="15"/>
              </w:rPr>
            </w:pPr>
            <w:r>
              <w:rPr>
                <w:rFonts w:hint="eastAsia" w:ascii="等线" w:hAnsi="等线" w:eastAsia="等线" w:cs="宋体"/>
                <w:b/>
                <w:bCs/>
                <w:color w:val="000000"/>
                <w:kern w:val="0"/>
                <w:sz w:val="15"/>
                <w:szCs w:val="15"/>
              </w:rPr>
              <w:t>0</w:t>
            </w:r>
          </w:p>
        </w:tc>
        <w:tc>
          <w:tcPr>
            <w:tcW w:w="571" w:type="pct"/>
            <w:vMerge w:val="restart"/>
            <w:tcBorders>
              <w:top w:val="nil"/>
              <w:left w:val="single" w:color="auto" w:sz="4" w:space="0"/>
              <w:bottom w:val="single" w:color="auto" w:sz="4" w:space="0"/>
              <w:right w:val="single" w:color="auto" w:sz="4" w:space="0"/>
            </w:tcBorders>
            <w:vAlign w:val="center"/>
          </w:tcPr>
          <w:p w14:paraId="44B69336">
            <w:pPr>
              <w:widowControl/>
              <w:spacing w:line="240" w:lineRule="exact"/>
              <w:jc w:val="center"/>
              <w:rPr>
                <w:rFonts w:hint="eastAsia" w:ascii="等线" w:hAnsi="等线" w:eastAsia="等线" w:cs="宋体"/>
                <w:b/>
                <w:bCs/>
                <w:color w:val="000000"/>
                <w:kern w:val="0"/>
                <w:sz w:val="15"/>
                <w:szCs w:val="15"/>
              </w:rPr>
            </w:pPr>
            <w:r>
              <w:rPr>
                <w:rFonts w:hint="eastAsia" w:ascii="等线" w:hAnsi="等线" w:eastAsia="等线" w:cs="宋体"/>
                <w:b/>
                <w:bCs/>
                <w:color w:val="000000"/>
                <w:kern w:val="0"/>
                <w:sz w:val="15"/>
                <w:szCs w:val="15"/>
              </w:rPr>
              <w:t>企业资格</w:t>
            </w:r>
            <w:r>
              <w:rPr>
                <w:rFonts w:hint="eastAsia" w:ascii="等线" w:hAnsi="等线" w:eastAsia="等线" w:cs="宋体"/>
                <w:b/>
                <w:bCs/>
                <w:color w:val="000000"/>
                <w:kern w:val="0"/>
                <w:sz w:val="15"/>
                <w:szCs w:val="15"/>
              </w:rPr>
              <w:br w:type="textWrapping"/>
            </w:r>
          </w:p>
        </w:tc>
        <w:tc>
          <w:tcPr>
            <w:tcW w:w="1003" w:type="pct"/>
            <w:tcBorders>
              <w:top w:val="nil"/>
              <w:left w:val="nil"/>
              <w:bottom w:val="single" w:color="auto" w:sz="4" w:space="0"/>
              <w:right w:val="single" w:color="auto" w:sz="4" w:space="0"/>
            </w:tcBorders>
            <w:vAlign w:val="center"/>
          </w:tcPr>
          <w:p w14:paraId="1688F53B">
            <w:pPr>
              <w:widowControl/>
              <w:spacing w:line="240" w:lineRule="exact"/>
              <w:jc w:val="center"/>
              <w:rPr>
                <w:rFonts w:hint="eastAsia" w:ascii="等线" w:hAnsi="等线" w:eastAsia="等线" w:cs="宋体"/>
                <w:b/>
                <w:bCs/>
                <w:color w:val="000000"/>
                <w:kern w:val="0"/>
                <w:sz w:val="15"/>
                <w:szCs w:val="15"/>
              </w:rPr>
            </w:pPr>
            <w:r>
              <w:rPr>
                <w:rFonts w:hint="eastAsia" w:ascii="宋体" w:hAnsi="宋体" w:eastAsia="宋体" w:cs="宋体"/>
                <w:b/>
                <w:bCs/>
                <w:color w:val="000000"/>
                <w:kern w:val="0"/>
                <w:sz w:val="18"/>
                <w:szCs w:val="18"/>
              </w:rPr>
              <w:t>行业、专业及渠道地位</w:t>
            </w:r>
          </w:p>
        </w:tc>
        <w:tc>
          <w:tcPr>
            <w:tcW w:w="329" w:type="pct"/>
            <w:tcBorders>
              <w:top w:val="nil"/>
              <w:left w:val="nil"/>
              <w:bottom w:val="single" w:color="auto" w:sz="4" w:space="0"/>
              <w:right w:val="single" w:color="auto" w:sz="4" w:space="0"/>
            </w:tcBorders>
            <w:vAlign w:val="center"/>
          </w:tcPr>
          <w:p w14:paraId="6707A97D">
            <w:pPr>
              <w:widowControl/>
              <w:spacing w:line="240" w:lineRule="exact"/>
              <w:jc w:val="center"/>
              <w:rPr>
                <w:rFonts w:hint="eastAsia" w:ascii="等线" w:hAnsi="等线" w:eastAsia="等线" w:cs="宋体"/>
                <w:b/>
                <w:bCs/>
                <w:color w:val="000000"/>
                <w:kern w:val="0"/>
                <w:sz w:val="15"/>
                <w:szCs w:val="15"/>
              </w:rPr>
            </w:pPr>
            <w:r>
              <w:rPr>
                <w:rFonts w:hint="eastAsia" w:ascii="等线" w:hAnsi="等线" w:eastAsia="等线" w:cs="宋体"/>
                <w:b/>
                <w:bCs/>
                <w:color w:val="000000"/>
                <w:kern w:val="0"/>
                <w:sz w:val="15"/>
                <w:szCs w:val="15"/>
              </w:rPr>
              <w:t>10%</w:t>
            </w:r>
          </w:p>
        </w:tc>
        <w:tc>
          <w:tcPr>
            <w:tcW w:w="2015" w:type="pct"/>
            <w:tcBorders>
              <w:top w:val="nil"/>
              <w:left w:val="nil"/>
              <w:bottom w:val="single" w:color="auto" w:sz="4" w:space="0"/>
              <w:right w:val="single" w:color="auto" w:sz="4" w:space="0"/>
            </w:tcBorders>
            <w:vAlign w:val="center"/>
          </w:tcPr>
          <w:p w14:paraId="5846CAD2">
            <w:pPr>
              <w:widowControl/>
              <w:spacing w:line="240" w:lineRule="exact"/>
              <w:jc w:val="left"/>
              <w:rPr>
                <w:rFonts w:hint="eastAsia" w:ascii="等线" w:hAnsi="等线" w:eastAsia="等线" w:cs="宋体"/>
                <w:b/>
                <w:bCs/>
                <w:color w:val="000000"/>
                <w:kern w:val="0"/>
                <w:sz w:val="15"/>
                <w:szCs w:val="15"/>
              </w:rPr>
            </w:pPr>
            <w:r>
              <w:rPr>
                <w:rFonts w:hint="eastAsia" w:ascii="等线" w:hAnsi="等线" w:eastAsia="等线" w:cs="宋体"/>
                <w:b/>
                <w:bCs/>
                <w:color w:val="000000"/>
                <w:kern w:val="0"/>
                <w:sz w:val="15"/>
                <w:szCs w:val="15"/>
              </w:rPr>
              <w:t>提供营业执照</w:t>
            </w:r>
            <w:r>
              <w:rPr>
                <w:rFonts w:hint="eastAsia" w:ascii="等线" w:hAnsi="等线" w:eastAsia="等线" w:cs="宋体"/>
                <w:b/>
                <w:bCs/>
                <w:color w:val="000000"/>
                <w:kern w:val="0"/>
                <w:sz w:val="15"/>
                <w:szCs w:val="15"/>
                <w:lang w:eastAsia="zh-CN"/>
              </w:rPr>
              <w:t>，</w:t>
            </w:r>
            <w:r>
              <w:rPr>
                <w:rFonts w:hint="eastAsia" w:ascii="等线" w:hAnsi="等线" w:eastAsia="等线" w:cs="宋体"/>
                <w:b/>
                <w:bCs/>
                <w:color w:val="000000"/>
                <w:kern w:val="0"/>
                <w:sz w:val="15"/>
                <w:szCs w:val="15"/>
              </w:rPr>
              <w:t>公司简介/行业地位&amp;占比说明-盖章</w:t>
            </w:r>
          </w:p>
        </w:tc>
        <w:tc>
          <w:tcPr>
            <w:tcW w:w="862" w:type="pct"/>
            <w:vMerge w:val="restart"/>
            <w:tcBorders>
              <w:top w:val="nil"/>
              <w:left w:val="nil"/>
              <w:right w:val="single" w:color="auto" w:sz="4" w:space="0"/>
            </w:tcBorders>
            <w:vAlign w:val="center"/>
          </w:tcPr>
          <w:p w14:paraId="6B264CD7">
            <w:pPr>
              <w:widowControl/>
              <w:spacing w:line="240" w:lineRule="exact"/>
              <w:jc w:val="left"/>
              <w:rPr>
                <w:rFonts w:hint="eastAsia" w:ascii="等线" w:hAnsi="等线" w:eastAsia="等线" w:cs="宋体"/>
                <w:b/>
                <w:bCs/>
                <w:color w:val="000000"/>
                <w:kern w:val="0"/>
                <w:sz w:val="15"/>
                <w:szCs w:val="15"/>
              </w:rPr>
            </w:pPr>
            <w:r>
              <w:rPr>
                <w:rFonts w:hint="eastAsia" w:ascii="等线" w:hAnsi="等线" w:eastAsia="等线" w:cs="宋体"/>
                <w:b w:val="0"/>
                <w:bCs w:val="0"/>
                <w:color w:val="000000"/>
                <w:kern w:val="0"/>
                <w:sz w:val="15"/>
                <w:szCs w:val="15"/>
              </w:rPr>
              <w:t>该表中的证明材料如与表一的内容重复也需提供</w:t>
            </w:r>
          </w:p>
        </w:tc>
      </w:tr>
      <w:tr w14:paraId="7D3C3BF8">
        <w:tblPrEx>
          <w:tblCellMar>
            <w:top w:w="0" w:type="dxa"/>
            <w:left w:w="108" w:type="dxa"/>
            <w:bottom w:w="0" w:type="dxa"/>
            <w:right w:w="108" w:type="dxa"/>
          </w:tblCellMar>
        </w:tblPrEx>
        <w:trPr>
          <w:trHeight w:val="90" w:hRule="atLeast"/>
          <w:jc w:val="center"/>
        </w:trPr>
        <w:tc>
          <w:tcPr>
            <w:tcW w:w="218" w:type="pct"/>
            <w:vMerge w:val="continue"/>
            <w:tcBorders>
              <w:top w:val="nil"/>
              <w:left w:val="single" w:color="auto" w:sz="4" w:space="0"/>
              <w:bottom w:val="single" w:color="auto" w:sz="4" w:space="0"/>
              <w:right w:val="single" w:color="auto" w:sz="4" w:space="0"/>
            </w:tcBorders>
            <w:vAlign w:val="center"/>
          </w:tcPr>
          <w:p w14:paraId="63F7CF40">
            <w:pPr>
              <w:widowControl/>
              <w:spacing w:line="240" w:lineRule="exact"/>
              <w:jc w:val="left"/>
              <w:rPr>
                <w:rFonts w:hint="eastAsia" w:ascii="等线" w:hAnsi="等线" w:eastAsia="等线" w:cs="宋体"/>
                <w:b/>
                <w:bCs/>
                <w:color w:val="000000"/>
                <w:kern w:val="0"/>
                <w:sz w:val="15"/>
                <w:szCs w:val="15"/>
              </w:rPr>
            </w:pPr>
          </w:p>
        </w:tc>
        <w:tc>
          <w:tcPr>
            <w:tcW w:w="571" w:type="pct"/>
            <w:vMerge w:val="continue"/>
            <w:tcBorders>
              <w:top w:val="nil"/>
              <w:left w:val="single" w:color="auto" w:sz="4" w:space="0"/>
              <w:bottom w:val="single" w:color="auto" w:sz="4" w:space="0"/>
              <w:right w:val="single" w:color="auto" w:sz="4" w:space="0"/>
            </w:tcBorders>
            <w:vAlign w:val="center"/>
          </w:tcPr>
          <w:p w14:paraId="3420DBB5">
            <w:pPr>
              <w:widowControl/>
              <w:spacing w:line="240" w:lineRule="exact"/>
              <w:jc w:val="left"/>
              <w:rPr>
                <w:rFonts w:hint="eastAsia" w:ascii="等线" w:hAnsi="等线" w:eastAsia="等线" w:cs="宋体"/>
                <w:b/>
                <w:bCs/>
                <w:color w:val="000000"/>
                <w:kern w:val="0"/>
                <w:sz w:val="15"/>
                <w:szCs w:val="15"/>
              </w:rPr>
            </w:pPr>
          </w:p>
        </w:tc>
        <w:tc>
          <w:tcPr>
            <w:tcW w:w="1003" w:type="pct"/>
            <w:tcBorders>
              <w:top w:val="nil"/>
              <w:left w:val="nil"/>
              <w:bottom w:val="single" w:color="auto" w:sz="4" w:space="0"/>
              <w:right w:val="single" w:color="auto" w:sz="4" w:space="0"/>
            </w:tcBorders>
            <w:vAlign w:val="center"/>
          </w:tcPr>
          <w:p w14:paraId="1E3E6FBF">
            <w:pPr>
              <w:widowControl/>
              <w:spacing w:line="240" w:lineRule="exact"/>
              <w:jc w:val="center"/>
              <w:rPr>
                <w:rFonts w:hint="eastAsia" w:ascii="等线" w:hAnsi="等线" w:eastAsia="等线" w:cs="宋体"/>
                <w:b/>
                <w:bCs/>
                <w:color w:val="000000"/>
                <w:kern w:val="0"/>
                <w:sz w:val="15"/>
                <w:szCs w:val="15"/>
              </w:rPr>
            </w:pPr>
            <w:r>
              <w:rPr>
                <w:rFonts w:hint="eastAsia" w:ascii="等线" w:hAnsi="等线" w:eastAsia="等线" w:cs="宋体"/>
                <w:b/>
                <w:bCs/>
                <w:color w:val="000000"/>
                <w:kern w:val="0"/>
                <w:sz w:val="15"/>
                <w:szCs w:val="15"/>
              </w:rPr>
              <w:t>企业注册资本（包括实缴资本）（10分）</w:t>
            </w:r>
          </w:p>
        </w:tc>
        <w:tc>
          <w:tcPr>
            <w:tcW w:w="329" w:type="pct"/>
            <w:tcBorders>
              <w:top w:val="nil"/>
              <w:left w:val="nil"/>
              <w:bottom w:val="single" w:color="auto" w:sz="4" w:space="0"/>
              <w:right w:val="single" w:color="auto" w:sz="4" w:space="0"/>
            </w:tcBorders>
            <w:vAlign w:val="center"/>
          </w:tcPr>
          <w:p w14:paraId="59FAD681">
            <w:pPr>
              <w:widowControl/>
              <w:spacing w:line="240" w:lineRule="exact"/>
              <w:jc w:val="center"/>
              <w:rPr>
                <w:rFonts w:hint="eastAsia" w:ascii="等线" w:hAnsi="等线" w:eastAsia="等线" w:cs="宋体"/>
                <w:b/>
                <w:bCs/>
                <w:color w:val="000000"/>
                <w:kern w:val="0"/>
                <w:sz w:val="15"/>
                <w:szCs w:val="15"/>
              </w:rPr>
            </w:pPr>
            <w:r>
              <w:rPr>
                <w:rFonts w:hint="eastAsia" w:ascii="等线" w:hAnsi="等线" w:eastAsia="等线" w:cs="宋体"/>
                <w:b/>
                <w:bCs/>
                <w:color w:val="000000"/>
                <w:kern w:val="0"/>
                <w:sz w:val="15"/>
                <w:szCs w:val="15"/>
              </w:rPr>
              <w:t>10%</w:t>
            </w:r>
          </w:p>
        </w:tc>
        <w:tc>
          <w:tcPr>
            <w:tcW w:w="2015" w:type="pct"/>
            <w:tcBorders>
              <w:top w:val="nil"/>
              <w:left w:val="nil"/>
              <w:bottom w:val="single" w:color="auto" w:sz="4" w:space="0"/>
              <w:right w:val="single" w:color="auto" w:sz="4" w:space="0"/>
            </w:tcBorders>
            <w:vAlign w:val="center"/>
          </w:tcPr>
          <w:p w14:paraId="00F8F193">
            <w:pPr>
              <w:widowControl/>
              <w:spacing w:line="240" w:lineRule="exact"/>
              <w:jc w:val="left"/>
              <w:rPr>
                <w:rFonts w:hint="eastAsia" w:ascii="等线" w:hAnsi="等线" w:eastAsia="等线" w:cs="宋体"/>
                <w:b/>
                <w:bCs/>
                <w:color w:val="000000"/>
                <w:kern w:val="0"/>
                <w:sz w:val="15"/>
                <w:szCs w:val="15"/>
              </w:rPr>
            </w:pPr>
            <w:r>
              <w:rPr>
                <w:rFonts w:hint="eastAsia" w:ascii="等线" w:hAnsi="等线" w:eastAsia="等线" w:cs="宋体"/>
                <w:b/>
                <w:bCs/>
                <w:color w:val="000000"/>
                <w:kern w:val="0"/>
                <w:sz w:val="15"/>
                <w:szCs w:val="15"/>
              </w:rPr>
              <w:t>提供国家企业信用信息公示系统（gsxt.gov.cn/index.hetml)上投标企业的盖章资料或者会计师事务所出具的验资报告</w:t>
            </w:r>
          </w:p>
        </w:tc>
        <w:tc>
          <w:tcPr>
            <w:tcW w:w="862" w:type="pct"/>
            <w:vMerge w:val="continue"/>
            <w:tcBorders>
              <w:left w:val="nil"/>
              <w:right w:val="single" w:color="auto" w:sz="4" w:space="0"/>
            </w:tcBorders>
            <w:vAlign w:val="center"/>
          </w:tcPr>
          <w:p w14:paraId="62C65F8F">
            <w:pPr>
              <w:widowControl/>
              <w:spacing w:line="240" w:lineRule="exact"/>
              <w:jc w:val="left"/>
              <w:rPr>
                <w:rFonts w:hint="eastAsia" w:ascii="等线" w:hAnsi="等线" w:eastAsia="等线" w:cs="宋体"/>
                <w:b/>
                <w:bCs/>
                <w:color w:val="000000"/>
                <w:kern w:val="0"/>
                <w:sz w:val="15"/>
                <w:szCs w:val="15"/>
              </w:rPr>
            </w:pPr>
          </w:p>
        </w:tc>
      </w:tr>
      <w:tr w14:paraId="47EA9AF5">
        <w:tblPrEx>
          <w:tblCellMar>
            <w:top w:w="0" w:type="dxa"/>
            <w:left w:w="108" w:type="dxa"/>
            <w:bottom w:w="0" w:type="dxa"/>
            <w:right w:w="108" w:type="dxa"/>
          </w:tblCellMar>
        </w:tblPrEx>
        <w:trPr>
          <w:trHeight w:val="90" w:hRule="atLeast"/>
          <w:jc w:val="center"/>
        </w:trPr>
        <w:tc>
          <w:tcPr>
            <w:tcW w:w="218" w:type="pct"/>
            <w:vMerge w:val="continue"/>
            <w:tcBorders>
              <w:top w:val="nil"/>
              <w:left w:val="single" w:color="auto" w:sz="4" w:space="0"/>
              <w:bottom w:val="single" w:color="auto" w:sz="4" w:space="0"/>
              <w:right w:val="single" w:color="auto" w:sz="4" w:space="0"/>
            </w:tcBorders>
            <w:vAlign w:val="center"/>
          </w:tcPr>
          <w:p w14:paraId="66999321">
            <w:pPr>
              <w:widowControl/>
              <w:spacing w:line="240" w:lineRule="exact"/>
              <w:jc w:val="left"/>
              <w:rPr>
                <w:rFonts w:hint="eastAsia" w:ascii="等线" w:hAnsi="等线" w:eastAsia="等线" w:cs="宋体"/>
                <w:b/>
                <w:bCs/>
                <w:color w:val="000000"/>
                <w:kern w:val="0"/>
                <w:sz w:val="15"/>
                <w:szCs w:val="15"/>
              </w:rPr>
            </w:pPr>
          </w:p>
        </w:tc>
        <w:tc>
          <w:tcPr>
            <w:tcW w:w="571" w:type="pct"/>
            <w:vMerge w:val="continue"/>
            <w:tcBorders>
              <w:top w:val="nil"/>
              <w:left w:val="single" w:color="auto" w:sz="4" w:space="0"/>
              <w:bottom w:val="single" w:color="auto" w:sz="4" w:space="0"/>
              <w:right w:val="single" w:color="auto" w:sz="4" w:space="0"/>
            </w:tcBorders>
            <w:vAlign w:val="center"/>
          </w:tcPr>
          <w:p w14:paraId="6535FEAA">
            <w:pPr>
              <w:widowControl/>
              <w:spacing w:line="240" w:lineRule="exact"/>
              <w:jc w:val="left"/>
              <w:rPr>
                <w:rFonts w:hint="eastAsia" w:ascii="等线" w:hAnsi="等线" w:eastAsia="等线" w:cs="宋体"/>
                <w:b/>
                <w:bCs/>
                <w:color w:val="000000"/>
                <w:kern w:val="0"/>
                <w:sz w:val="15"/>
                <w:szCs w:val="15"/>
              </w:rPr>
            </w:pPr>
          </w:p>
        </w:tc>
        <w:tc>
          <w:tcPr>
            <w:tcW w:w="1003" w:type="pct"/>
            <w:tcBorders>
              <w:top w:val="nil"/>
              <w:left w:val="nil"/>
              <w:bottom w:val="single" w:color="auto" w:sz="4" w:space="0"/>
              <w:right w:val="single" w:color="auto" w:sz="4" w:space="0"/>
            </w:tcBorders>
            <w:vAlign w:val="center"/>
          </w:tcPr>
          <w:p w14:paraId="07ABFB54">
            <w:pPr>
              <w:widowControl/>
              <w:spacing w:line="240" w:lineRule="exact"/>
              <w:jc w:val="center"/>
              <w:rPr>
                <w:rFonts w:hint="eastAsia" w:ascii="等线" w:hAnsi="等线" w:eastAsia="等线" w:cs="宋体"/>
                <w:b/>
                <w:bCs/>
                <w:color w:val="000000"/>
                <w:kern w:val="0"/>
                <w:sz w:val="15"/>
                <w:szCs w:val="15"/>
              </w:rPr>
            </w:pPr>
            <w:r>
              <w:rPr>
                <w:rFonts w:hint="eastAsia" w:ascii="等线" w:hAnsi="等线" w:eastAsia="等线" w:cs="宋体"/>
                <w:b/>
                <w:bCs/>
                <w:color w:val="000000"/>
                <w:kern w:val="0"/>
                <w:sz w:val="15"/>
                <w:szCs w:val="15"/>
              </w:rPr>
              <w:t>企业资信（10分）</w:t>
            </w:r>
          </w:p>
        </w:tc>
        <w:tc>
          <w:tcPr>
            <w:tcW w:w="329" w:type="pct"/>
            <w:tcBorders>
              <w:top w:val="nil"/>
              <w:left w:val="nil"/>
              <w:bottom w:val="single" w:color="auto" w:sz="4" w:space="0"/>
              <w:right w:val="single" w:color="auto" w:sz="4" w:space="0"/>
            </w:tcBorders>
            <w:vAlign w:val="center"/>
          </w:tcPr>
          <w:p w14:paraId="4240E8C5">
            <w:pPr>
              <w:widowControl/>
              <w:spacing w:line="240" w:lineRule="exact"/>
              <w:jc w:val="center"/>
              <w:rPr>
                <w:rFonts w:hint="eastAsia" w:ascii="等线" w:hAnsi="等线" w:eastAsia="等线" w:cs="宋体"/>
                <w:b/>
                <w:bCs/>
                <w:color w:val="000000"/>
                <w:kern w:val="0"/>
                <w:sz w:val="15"/>
                <w:szCs w:val="15"/>
              </w:rPr>
            </w:pPr>
            <w:r>
              <w:rPr>
                <w:rFonts w:hint="eastAsia" w:ascii="等线" w:hAnsi="等线" w:eastAsia="等线" w:cs="宋体"/>
                <w:b/>
                <w:bCs/>
                <w:color w:val="000000"/>
                <w:kern w:val="0"/>
                <w:sz w:val="15"/>
                <w:szCs w:val="15"/>
              </w:rPr>
              <w:t>10%</w:t>
            </w:r>
          </w:p>
        </w:tc>
        <w:tc>
          <w:tcPr>
            <w:tcW w:w="2015" w:type="pct"/>
            <w:tcBorders>
              <w:top w:val="nil"/>
              <w:left w:val="nil"/>
              <w:bottom w:val="single" w:color="auto" w:sz="4" w:space="0"/>
              <w:right w:val="single" w:color="auto" w:sz="4" w:space="0"/>
            </w:tcBorders>
            <w:vAlign w:val="center"/>
          </w:tcPr>
          <w:p w14:paraId="60F4405D">
            <w:pPr>
              <w:widowControl/>
              <w:spacing w:line="240" w:lineRule="exact"/>
              <w:jc w:val="left"/>
              <w:rPr>
                <w:rFonts w:hint="eastAsia" w:ascii="等线" w:hAnsi="等线" w:eastAsia="等线" w:cs="宋体"/>
                <w:b/>
                <w:bCs/>
                <w:color w:val="000000"/>
                <w:kern w:val="0"/>
                <w:sz w:val="15"/>
                <w:szCs w:val="15"/>
              </w:rPr>
            </w:pPr>
            <w:r>
              <w:rPr>
                <w:rFonts w:hint="eastAsia" w:ascii="等线" w:hAnsi="等线" w:eastAsia="等线" w:cs="宋体"/>
                <w:b/>
                <w:bCs/>
                <w:color w:val="000000"/>
                <w:kern w:val="0"/>
                <w:sz w:val="15"/>
                <w:szCs w:val="15"/>
              </w:rPr>
              <w:t>提供银行提供的信用征信报告</w:t>
            </w:r>
          </w:p>
        </w:tc>
        <w:tc>
          <w:tcPr>
            <w:tcW w:w="862" w:type="pct"/>
            <w:vMerge w:val="continue"/>
            <w:tcBorders>
              <w:left w:val="nil"/>
              <w:right w:val="single" w:color="auto" w:sz="4" w:space="0"/>
            </w:tcBorders>
            <w:vAlign w:val="center"/>
          </w:tcPr>
          <w:p w14:paraId="0BDA0B2C">
            <w:pPr>
              <w:widowControl/>
              <w:spacing w:line="240" w:lineRule="exact"/>
              <w:jc w:val="left"/>
              <w:rPr>
                <w:rFonts w:hint="eastAsia" w:ascii="等线" w:hAnsi="等线" w:eastAsia="等线" w:cs="宋体"/>
                <w:b/>
                <w:bCs/>
                <w:color w:val="000000"/>
                <w:kern w:val="0"/>
                <w:sz w:val="15"/>
                <w:szCs w:val="15"/>
              </w:rPr>
            </w:pPr>
          </w:p>
        </w:tc>
      </w:tr>
      <w:tr w14:paraId="2623CED6">
        <w:tblPrEx>
          <w:tblCellMar>
            <w:top w:w="0" w:type="dxa"/>
            <w:left w:w="108" w:type="dxa"/>
            <w:bottom w:w="0" w:type="dxa"/>
            <w:right w:w="108" w:type="dxa"/>
          </w:tblCellMar>
        </w:tblPrEx>
        <w:trPr>
          <w:trHeight w:val="480" w:hRule="atLeast"/>
          <w:jc w:val="center"/>
        </w:trPr>
        <w:tc>
          <w:tcPr>
            <w:tcW w:w="218" w:type="pct"/>
            <w:vMerge w:val="continue"/>
            <w:tcBorders>
              <w:top w:val="nil"/>
              <w:left w:val="single" w:color="auto" w:sz="4" w:space="0"/>
              <w:bottom w:val="single" w:color="auto" w:sz="4" w:space="0"/>
              <w:right w:val="single" w:color="auto" w:sz="4" w:space="0"/>
            </w:tcBorders>
            <w:vAlign w:val="center"/>
          </w:tcPr>
          <w:p w14:paraId="2DD9ECE0">
            <w:pPr>
              <w:widowControl/>
              <w:spacing w:line="240" w:lineRule="exact"/>
              <w:jc w:val="left"/>
              <w:rPr>
                <w:rFonts w:hint="eastAsia" w:ascii="等线" w:hAnsi="等线" w:eastAsia="等线" w:cs="宋体"/>
                <w:b/>
                <w:bCs/>
                <w:color w:val="000000"/>
                <w:kern w:val="0"/>
                <w:sz w:val="15"/>
                <w:szCs w:val="15"/>
              </w:rPr>
            </w:pPr>
          </w:p>
        </w:tc>
        <w:tc>
          <w:tcPr>
            <w:tcW w:w="571" w:type="pct"/>
            <w:vMerge w:val="continue"/>
            <w:tcBorders>
              <w:top w:val="nil"/>
              <w:left w:val="single" w:color="auto" w:sz="4" w:space="0"/>
              <w:bottom w:val="single" w:color="auto" w:sz="4" w:space="0"/>
              <w:right w:val="single" w:color="auto" w:sz="4" w:space="0"/>
            </w:tcBorders>
            <w:vAlign w:val="center"/>
          </w:tcPr>
          <w:p w14:paraId="711A9941">
            <w:pPr>
              <w:widowControl/>
              <w:spacing w:line="240" w:lineRule="exact"/>
              <w:jc w:val="left"/>
              <w:rPr>
                <w:rFonts w:hint="eastAsia" w:ascii="等线" w:hAnsi="等线" w:eastAsia="等线" w:cs="宋体"/>
                <w:b/>
                <w:bCs/>
                <w:color w:val="000000"/>
                <w:kern w:val="0"/>
                <w:sz w:val="15"/>
                <w:szCs w:val="15"/>
              </w:rPr>
            </w:pPr>
          </w:p>
        </w:tc>
        <w:tc>
          <w:tcPr>
            <w:tcW w:w="1003" w:type="pct"/>
            <w:tcBorders>
              <w:top w:val="nil"/>
              <w:left w:val="nil"/>
              <w:bottom w:val="single" w:color="auto" w:sz="4" w:space="0"/>
              <w:right w:val="single" w:color="auto" w:sz="4" w:space="0"/>
            </w:tcBorders>
            <w:vAlign w:val="center"/>
          </w:tcPr>
          <w:p w14:paraId="6E8D9F0C">
            <w:pPr>
              <w:widowControl/>
              <w:spacing w:line="240" w:lineRule="exact"/>
              <w:jc w:val="center"/>
              <w:rPr>
                <w:rFonts w:hint="eastAsia" w:ascii="等线" w:hAnsi="等线" w:eastAsia="等线" w:cs="宋体"/>
                <w:b/>
                <w:bCs/>
                <w:color w:val="000000"/>
                <w:kern w:val="0"/>
                <w:sz w:val="15"/>
                <w:szCs w:val="15"/>
              </w:rPr>
            </w:pPr>
            <w:r>
              <w:rPr>
                <w:rFonts w:hint="eastAsia" w:ascii="等线" w:hAnsi="等线" w:eastAsia="等线" w:cs="宋体"/>
                <w:b/>
                <w:bCs/>
                <w:color w:val="000000"/>
                <w:kern w:val="0"/>
                <w:sz w:val="15"/>
                <w:szCs w:val="15"/>
              </w:rPr>
              <w:t>纳税记录（5分）</w:t>
            </w:r>
          </w:p>
        </w:tc>
        <w:tc>
          <w:tcPr>
            <w:tcW w:w="329" w:type="pct"/>
            <w:tcBorders>
              <w:top w:val="nil"/>
              <w:left w:val="nil"/>
              <w:bottom w:val="single" w:color="auto" w:sz="4" w:space="0"/>
              <w:right w:val="single" w:color="auto" w:sz="4" w:space="0"/>
            </w:tcBorders>
            <w:vAlign w:val="center"/>
          </w:tcPr>
          <w:p w14:paraId="7C32150A">
            <w:pPr>
              <w:widowControl/>
              <w:spacing w:line="240" w:lineRule="exact"/>
              <w:jc w:val="center"/>
              <w:rPr>
                <w:rFonts w:hint="eastAsia" w:ascii="等线" w:hAnsi="等线" w:eastAsia="等线" w:cs="宋体"/>
                <w:b/>
                <w:bCs/>
                <w:color w:val="000000"/>
                <w:kern w:val="0"/>
                <w:sz w:val="15"/>
                <w:szCs w:val="15"/>
              </w:rPr>
            </w:pPr>
            <w:r>
              <w:rPr>
                <w:rFonts w:hint="eastAsia" w:ascii="等线" w:hAnsi="等线" w:eastAsia="等线" w:cs="宋体"/>
                <w:b/>
                <w:bCs/>
                <w:color w:val="000000"/>
                <w:kern w:val="0"/>
                <w:sz w:val="15"/>
                <w:szCs w:val="15"/>
              </w:rPr>
              <w:t>5%</w:t>
            </w:r>
          </w:p>
        </w:tc>
        <w:tc>
          <w:tcPr>
            <w:tcW w:w="2015" w:type="pct"/>
            <w:tcBorders>
              <w:top w:val="nil"/>
              <w:left w:val="nil"/>
              <w:bottom w:val="single" w:color="auto" w:sz="4" w:space="0"/>
              <w:right w:val="single" w:color="auto" w:sz="4" w:space="0"/>
            </w:tcBorders>
            <w:vAlign w:val="center"/>
          </w:tcPr>
          <w:p w14:paraId="62B654FB">
            <w:pPr>
              <w:widowControl/>
              <w:spacing w:line="240" w:lineRule="exact"/>
              <w:jc w:val="left"/>
              <w:rPr>
                <w:rFonts w:hint="eastAsia" w:ascii="等线" w:hAnsi="等线" w:eastAsia="等线" w:cs="宋体"/>
                <w:b/>
                <w:bCs/>
                <w:color w:val="000000"/>
                <w:kern w:val="0"/>
                <w:sz w:val="15"/>
                <w:szCs w:val="15"/>
              </w:rPr>
            </w:pPr>
            <w:r>
              <w:rPr>
                <w:rFonts w:hint="eastAsia" w:ascii="等线" w:hAnsi="等线" w:eastAsia="等线" w:cs="宋体"/>
                <w:b/>
                <w:bCs/>
                <w:color w:val="000000"/>
                <w:kern w:val="0"/>
                <w:sz w:val="15"/>
                <w:szCs w:val="15"/>
              </w:rPr>
              <w:t>提供上一年度或上一季度的纳税证明并盖</w:t>
            </w:r>
          </w:p>
        </w:tc>
        <w:tc>
          <w:tcPr>
            <w:tcW w:w="862" w:type="pct"/>
            <w:vMerge w:val="continue"/>
            <w:tcBorders>
              <w:left w:val="nil"/>
              <w:right w:val="single" w:color="auto" w:sz="4" w:space="0"/>
            </w:tcBorders>
            <w:vAlign w:val="center"/>
          </w:tcPr>
          <w:p w14:paraId="10EBF64D">
            <w:pPr>
              <w:widowControl/>
              <w:spacing w:line="240" w:lineRule="exact"/>
              <w:jc w:val="left"/>
              <w:rPr>
                <w:rFonts w:hint="eastAsia" w:ascii="等线" w:hAnsi="等线" w:eastAsia="等线" w:cs="宋体"/>
                <w:b/>
                <w:bCs/>
                <w:color w:val="000000"/>
                <w:kern w:val="0"/>
                <w:sz w:val="15"/>
                <w:szCs w:val="15"/>
              </w:rPr>
            </w:pPr>
          </w:p>
        </w:tc>
      </w:tr>
      <w:tr w14:paraId="546DF676">
        <w:tblPrEx>
          <w:tblCellMar>
            <w:top w:w="0" w:type="dxa"/>
            <w:left w:w="108" w:type="dxa"/>
            <w:bottom w:w="0" w:type="dxa"/>
            <w:right w:w="108" w:type="dxa"/>
          </w:tblCellMar>
        </w:tblPrEx>
        <w:trPr>
          <w:trHeight w:val="480" w:hRule="atLeast"/>
          <w:jc w:val="center"/>
        </w:trPr>
        <w:tc>
          <w:tcPr>
            <w:tcW w:w="218" w:type="pct"/>
            <w:vMerge w:val="continue"/>
            <w:tcBorders>
              <w:top w:val="nil"/>
              <w:left w:val="single" w:color="auto" w:sz="4" w:space="0"/>
              <w:bottom w:val="single" w:color="auto" w:sz="4" w:space="0"/>
              <w:right w:val="single" w:color="auto" w:sz="4" w:space="0"/>
            </w:tcBorders>
            <w:vAlign w:val="center"/>
          </w:tcPr>
          <w:p w14:paraId="361DBF6F">
            <w:pPr>
              <w:widowControl/>
              <w:spacing w:line="240" w:lineRule="exact"/>
              <w:jc w:val="left"/>
              <w:rPr>
                <w:rFonts w:hint="eastAsia" w:ascii="等线" w:hAnsi="等线" w:eastAsia="等线" w:cs="宋体"/>
                <w:b/>
                <w:bCs/>
                <w:color w:val="000000"/>
                <w:kern w:val="0"/>
                <w:sz w:val="15"/>
                <w:szCs w:val="15"/>
              </w:rPr>
            </w:pPr>
          </w:p>
        </w:tc>
        <w:tc>
          <w:tcPr>
            <w:tcW w:w="571" w:type="pct"/>
            <w:vMerge w:val="continue"/>
            <w:tcBorders>
              <w:top w:val="nil"/>
              <w:left w:val="single" w:color="auto" w:sz="4" w:space="0"/>
              <w:bottom w:val="single" w:color="auto" w:sz="4" w:space="0"/>
              <w:right w:val="single" w:color="auto" w:sz="4" w:space="0"/>
            </w:tcBorders>
            <w:vAlign w:val="center"/>
          </w:tcPr>
          <w:p w14:paraId="1280B7FC">
            <w:pPr>
              <w:widowControl/>
              <w:spacing w:line="240" w:lineRule="exact"/>
              <w:jc w:val="left"/>
              <w:rPr>
                <w:rFonts w:hint="eastAsia" w:ascii="等线" w:hAnsi="等线" w:eastAsia="等线" w:cs="宋体"/>
                <w:b/>
                <w:bCs/>
                <w:color w:val="000000"/>
                <w:kern w:val="0"/>
                <w:sz w:val="15"/>
                <w:szCs w:val="15"/>
              </w:rPr>
            </w:pPr>
          </w:p>
        </w:tc>
        <w:tc>
          <w:tcPr>
            <w:tcW w:w="1003" w:type="pct"/>
            <w:tcBorders>
              <w:top w:val="nil"/>
              <w:left w:val="nil"/>
              <w:bottom w:val="single" w:color="auto" w:sz="4" w:space="0"/>
              <w:right w:val="single" w:color="auto" w:sz="4" w:space="0"/>
            </w:tcBorders>
            <w:vAlign w:val="center"/>
          </w:tcPr>
          <w:p w14:paraId="13F402B4">
            <w:pPr>
              <w:widowControl/>
              <w:spacing w:line="240" w:lineRule="exact"/>
              <w:jc w:val="center"/>
              <w:rPr>
                <w:rFonts w:hint="eastAsia" w:ascii="等线" w:hAnsi="等线" w:eastAsia="等线" w:cs="宋体"/>
                <w:b/>
                <w:bCs/>
                <w:color w:val="000000"/>
                <w:kern w:val="0"/>
                <w:sz w:val="15"/>
                <w:szCs w:val="15"/>
              </w:rPr>
            </w:pPr>
            <w:r>
              <w:rPr>
                <w:rFonts w:hint="eastAsia" w:ascii="等线" w:hAnsi="等线" w:eastAsia="等线" w:cs="宋体"/>
                <w:b/>
                <w:bCs/>
                <w:color w:val="000000"/>
                <w:kern w:val="0"/>
                <w:sz w:val="15"/>
                <w:szCs w:val="15"/>
              </w:rPr>
              <w:t>企业经营（15分）</w:t>
            </w:r>
          </w:p>
        </w:tc>
        <w:tc>
          <w:tcPr>
            <w:tcW w:w="329" w:type="pct"/>
            <w:tcBorders>
              <w:top w:val="nil"/>
              <w:left w:val="nil"/>
              <w:bottom w:val="single" w:color="auto" w:sz="4" w:space="0"/>
              <w:right w:val="single" w:color="auto" w:sz="4" w:space="0"/>
            </w:tcBorders>
            <w:vAlign w:val="center"/>
          </w:tcPr>
          <w:p w14:paraId="7E3DBDE1">
            <w:pPr>
              <w:widowControl/>
              <w:spacing w:line="240" w:lineRule="exact"/>
              <w:jc w:val="center"/>
              <w:rPr>
                <w:rFonts w:hint="eastAsia" w:ascii="等线" w:hAnsi="等线" w:eastAsia="等线" w:cs="宋体"/>
                <w:b/>
                <w:bCs/>
                <w:color w:val="000000"/>
                <w:kern w:val="0"/>
                <w:sz w:val="15"/>
                <w:szCs w:val="15"/>
              </w:rPr>
            </w:pPr>
            <w:r>
              <w:rPr>
                <w:rFonts w:hint="eastAsia" w:ascii="等线" w:hAnsi="等线" w:eastAsia="等线" w:cs="宋体"/>
                <w:b/>
                <w:bCs/>
                <w:color w:val="000000"/>
                <w:kern w:val="0"/>
                <w:sz w:val="15"/>
                <w:szCs w:val="15"/>
              </w:rPr>
              <w:t>15%</w:t>
            </w:r>
          </w:p>
        </w:tc>
        <w:tc>
          <w:tcPr>
            <w:tcW w:w="2015" w:type="pct"/>
            <w:tcBorders>
              <w:top w:val="nil"/>
              <w:left w:val="nil"/>
              <w:bottom w:val="single" w:color="auto" w:sz="4" w:space="0"/>
              <w:right w:val="single" w:color="auto" w:sz="4" w:space="0"/>
            </w:tcBorders>
            <w:vAlign w:val="center"/>
          </w:tcPr>
          <w:p w14:paraId="79AB2898">
            <w:pPr>
              <w:widowControl/>
              <w:spacing w:line="240" w:lineRule="exact"/>
              <w:jc w:val="left"/>
              <w:rPr>
                <w:rFonts w:hint="eastAsia" w:ascii="等线" w:hAnsi="等线" w:eastAsia="等线" w:cs="宋体"/>
                <w:b/>
                <w:bCs/>
                <w:color w:val="000000"/>
                <w:kern w:val="0"/>
                <w:sz w:val="15"/>
                <w:szCs w:val="15"/>
              </w:rPr>
            </w:pPr>
            <w:r>
              <w:rPr>
                <w:rFonts w:hint="eastAsia" w:ascii="等线" w:hAnsi="等线" w:eastAsia="等线" w:cs="宋体"/>
                <w:b/>
                <w:bCs/>
                <w:color w:val="000000"/>
                <w:kern w:val="0"/>
                <w:sz w:val="15"/>
                <w:szCs w:val="15"/>
              </w:rPr>
              <w:t>提供近3年企业经过第三方审计或财务审核且盖章的财务报表包含但不限于（简化版资产负债表、利润表、现金流量）</w:t>
            </w:r>
            <w:r>
              <w:rPr>
                <w:rFonts w:hint="eastAsia" w:ascii="宋体" w:hAnsi="宋体" w:cs="宋体"/>
                <w:b/>
                <w:bCs/>
                <w:kern w:val="0"/>
                <w:sz w:val="16"/>
                <w:szCs w:val="16"/>
              </w:rPr>
              <w:br w:type="textWrapping"/>
            </w:r>
            <w:r>
              <w:rPr>
                <w:rFonts w:hint="eastAsia" w:ascii="宋体" w:hAnsi="宋体" w:cs="宋体"/>
                <w:b/>
                <w:bCs/>
                <w:kern w:val="0"/>
                <w:sz w:val="16"/>
                <w:szCs w:val="16"/>
              </w:rPr>
              <w:t>如2025报表未经审计无法提供，则提交2022~2024三年的。</w:t>
            </w:r>
          </w:p>
        </w:tc>
        <w:tc>
          <w:tcPr>
            <w:tcW w:w="862" w:type="pct"/>
            <w:vMerge w:val="continue"/>
            <w:tcBorders>
              <w:left w:val="nil"/>
              <w:right w:val="single" w:color="auto" w:sz="4" w:space="0"/>
            </w:tcBorders>
            <w:vAlign w:val="center"/>
          </w:tcPr>
          <w:p w14:paraId="0EDC0DBA">
            <w:pPr>
              <w:widowControl/>
              <w:spacing w:line="240" w:lineRule="exact"/>
              <w:jc w:val="left"/>
              <w:rPr>
                <w:rFonts w:hint="eastAsia" w:ascii="等线" w:hAnsi="等线" w:eastAsia="等线" w:cs="宋体"/>
                <w:b/>
                <w:bCs/>
                <w:color w:val="000000"/>
                <w:kern w:val="0"/>
                <w:sz w:val="15"/>
                <w:szCs w:val="15"/>
              </w:rPr>
            </w:pPr>
          </w:p>
        </w:tc>
      </w:tr>
      <w:tr w14:paraId="43B5BB71">
        <w:tblPrEx>
          <w:tblCellMar>
            <w:top w:w="0" w:type="dxa"/>
            <w:left w:w="108" w:type="dxa"/>
            <w:bottom w:w="0" w:type="dxa"/>
            <w:right w:w="108" w:type="dxa"/>
          </w:tblCellMar>
        </w:tblPrEx>
        <w:trPr>
          <w:trHeight w:val="480" w:hRule="atLeast"/>
          <w:jc w:val="center"/>
        </w:trPr>
        <w:tc>
          <w:tcPr>
            <w:tcW w:w="218" w:type="pct"/>
            <w:vMerge w:val="continue"/>
            <w:tcBorders>
              <w:top w:val="nil"/>
              <w:left w:val="single" w:color="auto" w:sz="4" w:space="0"/>
              <w:bottom w:val="single" w:color="auto" w:sz="4" w:space="0"/>
              <w:right w:val="single" w:color="auto" w:sz="4" w:space="0"/>
            </w:tcBorders>
            <w:vAlign w:val="center"/>
          </w:tcPr>
          <w:p w14:paraId="6E6586BF">
            <w:pPr>
              <w:widowControl/>
              <w:spacing w:line="240" w:lineRule="exact"/>
              <w:jc w:val="left"/>
              <w:rPr>
                <w:rFonts w:hint="eastAsia" w:ascii="等线" w:hAnsi="等线" w:eastAsia="等线" w:cs="宋体"/>
                <w:b/>
                <w:bCs/>
                <w:color w:val="000000"/>
                <w:kern w:val="0"/>
                <w:sz w:val="15"/>
                <w:szCs w:val="15"/>
              </w:rPr>
            </w:pPr>
          </w:p>
        </w:tc>
        <w:tc>
          <w:tcPr>
            <w:tcW w:w="571" w:type="pct"/>
            <w:vMerge w:val="continue"/>
            <w:tcBorders>
              <w:top w:val="nil"/>
              <w:left w:val="single" w:color="auto" w:sz="4" w:space="0"/>
              <w:bottom w:val="single" w:color="auto" w:sz="4" w:space="0"/>
              <w:right w:val="single" w:color="auto" w:sz="4" w:space="0"/>
            </w:tcBorders>
            <w:vAlign w:val="center"/>
          </w:tcPr>
          <w:p w14:paraId="09E54351">
            <w:pPr>
              <w:widowControl/>
              <w:spacing w:line="240" w:lineRule="exact"/>
              <w:jc w:val="left"/>
              <w:rPr>
                <w:rFonts w:hint="eastAsia" w:ascii="等线" w:hAnsi="等线" w:eastAsia="等线" w:cs="宋体"/>
                <w:b/>
                <w:bCs/>
                <w:color w:val="000000"/>
                <w:kern w:val="0"/>
                <w:sz w:val="15"/>
                <w:szCs w:val="15"/>
              </w:rPr>
            </w:pPr>
          </w:p>
        </w:tc>
        <w:tc>
          <w:tcPr>
            <w:tcW w:w="1003" w:type="pct"/>
            <w:tcBorders>
              <w:top w:val="nil"/>
              <w:left w:val="nil"/>
              <w:bottom w:val="single" w:color="auto" w:sz="4" w:space="0"/>
              <w:right w:val="single" w:color="auto" w:sz="4" w:space="0"/>
            </w:tcBorders>
            <w:vAlign w:val="center"/>
          </w:tcPr>
          <w:p w14:paraId="50AAFE06">
            <w:pPr>
              <w:widowControl/>
              <w:spacing w:line="240" w:lineRule="exact"/>
              <w:jc w:val="center"/>
              <w:rPr>
                <w:rFonts w:hint="eastAsia" w:ascii="等线" w:hAnsi="等线" w:eastAsia="等线" w:cs="宋体"/>
                <w:b/>
                <w:bCs/>
                <w:color w:val="000000"/>
                <w:kern w:val="0"/>
                <w:sz w:val="15"/>
                <w:szCs w:val="15"/>
              </w:rPr>
            </w:pPr>
            <w:r>
              <w:rPr>
                <w:rFonts w:hint="eastAsia" w:ascii="等线" w:hAnsi="等线" w:eastAsia="等线" w:cs="宋体"/>
                <w:b/>
                <w:bCs/>
                <w:color w:val="000000"/>
                <w:kern w:val="0"/>
                <w:sz w:val="15"/>
                <w:szCs w:val="15"/>
              </w:rPr>
              <w:t>合作实验室资质证明（10分）</w:t>
            </w:r>
          </w:p>
        </w:tc>
        <w:tc>
          <w:tcPr>
            <w:tcW w:w="329" w:type="pct"/>
            <w:tcBorders>
              <w:top w:val="nil"/>
              <w:left w:val="nil"/>
              <w:bottom w:val="single" w:color="auto" w:sz="4" w:space="0"/>
              <w:right w:val="single" w:color="auto" w:sz="4" w:space="0"/>
            </w:tcBorders>
            <w:vAlign w:val="center"/>
          </w:tcPr>
          <w:p w14:paraId="3CEE4C36">
            <w:pPr>
              <w:widowControl/>
              <w:spacing w:line="240" w:lineRule="exact"/>
              <w:jc w:val="center"/>
              <w:rPr>
                <w:rFonts w:hint="eastAsia" w:ascii="等线" w:hAnsi="等线" w:eastAsia="等线" w:cs="宋体"/>
                <w:b/>
                <w:bCs/>
                <w:color w:val="000000"/>
                <w:kern w:val="0"/>
                <w:sz w:val="15"/>
                <w:szCs w:val="15"/>
              </w:rPr>
            </w:pPr>
            <w:r>
              <w:rPr>
                <w:rFonts w:hint="eastAsia" w:ascii="等线" w:hAnsi="等线" w:eastAsia="等线" w:cs="宋体"/>
                <w:b/>
                <w:bCs/>
                <w:color w:val="000000"/>
                <w:kern w:val="0"/>
                <w:sz w:val="15"/>
                <w:szCs w:val="15"/>
              </w:rPr>
              <w:t>10%</w:t>
            </w:r>
          </w:p>
        </w:tc>
        <w:tc>
          <w:tcPr>
            <w:tcW w:w="2015" w:type="pct"/>
            <w:tcBorders>
              <w:top w:val="nil"/>
              <w:left w:val="nil"/>
              <w:bottom w:val="single" w:color="auto" w:sz="4" w:space="0"/>
              <w:right w:val="single" w:color="auto" w:sz="4" w:space="0"/>
            </w:tcBorders>
            <w:vAlign w:val="center"/>
          </w:tcPr>
          <w:p w14:paraId="4AFA479B">
            <w:pPr>
              <w:widowControl/>
              <w:spacing w:line="240" w:lineRule="exact"/>
              <w:jc w:val="left"/>
              <w:rPr>
                <w:rFonts w:hint="eastAsia" w:ascii="等线" w:hAnsi="等线" w:eastAsia="等线" w:cs="宋体"/>
                <w:b/>
                <w:bCs/>
                <w:color w:val="000000"/>
                <w:kern w:val="0"/>
                <w:sz w:val="15"/>
                <w:szCs w:val="15"/>
              </w:rPr>
            </w:pPr>
            <w:r>
              <w:rPr>
                <w:rFonts w:hint="eastAsia" w:ascii="等线" w:hAnsi="等线" w:eastAsia="等线" w:cs="宋体"/>
                <w:b/>
                <w:bCs/>
                <w:color w:val="000000"/>
                <w:kern w:val="0"/>
                <w:sz w:val="15"/>
                <w:szCs w:val="15"/>
              </w:rPr>
              <w:t>分别提供2份及以上合作测试与出具报告的实验室所具备的CNAS资质</w:t>
            </w:r>
          </w:p>
        </w:tc>
        <w:tc>
          <w:tcPr>
            <w:tcW w:w="862" w:type="pct"/>
            <w:vMerge w:val="continue"/>
            <w:tcBorders>
              <w:left w:val="nil"/>
              <w:right w:val="single" w:color="auto" w:sz="4" w:space="0"/>
            </w:tcBorders>
            <w:vAlign w:val="center"/>
          </w:tcPr>
          <w:p w14:paraId="178EF05A">
            <w:pPr>
              <w:widowControl/>
              <w:spacing w:line="240" w:lineRule="exact"/>
              <w:jc w:val="left"/>
              <w:rPr>
                <w:rFonts w:hint="eastAsia" w:ascii="等线" w:hAnsi="等线" w:eastAsia="等线" w:cs="宋体"/>
                <w:b/>
                <w:bCs/>
                <w:color w:val="000000"/>
                <w:kern w:val="0"/>
                <w:sz w:val="15"/>
                <w:szCs w:val="15"/>
              </w:rPr>
            </w:pPr>
          </w:p>
        </w:tc>
      </w:tr>
      <w:tr w14:paraId="0A7140E7">
        <w:tblPrEx>
          <w:tblCellMar>
            <w:top w:w="0" w:type="dxa"/>
            <w:left w:w="108" w:type="dxa"/>
            <w:bottom w:w="0" w:type="dxa"/>
            <w:right w:w="108" w:type="dxa"/>
          </w:tblCellMar>
        </w:tblPrEx>
        <w:trPr>
          <w:trHeight w:val="255" w:hRule="atLeast"/>
          <w:jc w:val="center"/>
        </w:trPr>
        <w:tc>
          <w:tcPr>
            <w:tcW w:w="218" w:type="pct"/>
            <w:vMerge w:val="continue"/>
            <w:tcBorders>
              <w:top w:val="nil"/>
              <w:left w:val="single" w:color="auto" w:sz="4" w:space="0"/>
              <w:bottom w:val="single" w:color="auto" w:sz="4" w:space="0"/>
              <w:right w:val="single" w:color="auto" w:sz="4" w:space="0"/>
            </w:tcBorders>
            <w:vAlign w:val="center"/>
          </w:tcPr>
          <w:p w14:paraId="76853C94">
            <w:pPr>
              <w:widowControl/>
              <w:spacing w:line="240" w:lineRule="exact"/>
              <w:jc w:val="left"/>
              <w:rPr>
                <w:rFonts w:hint="eastAsia" w:ascii="等线" w:hAnsi="等线" w:eastAsia="等线" w:cs="宋体"/>
                <w:b/>
                <w:bCs/>
                <w:color w:val="000000"/>
                <w:kern w:val="0"/>
                <w:sz w:val="15"/>
                <w:szCs w:val="15"/>
              </w:rPr>
            </w:pPr>
          </w:p>
        </w:tc>
        <w:tc>
          <w:tcPr>
            <w:tcW w:w="571" w:type="pct"/>
            <w:vMerge w:val="continue"/>
            <w:tcBorders>
              <w:top w:val="nil"/>
              <w:left w:val="single" w:color="auto" w:sz="4" w:space="0"/>
              <w:bottom w:val="single" w:color="auto" w:sz="4" w:space="0"/>
              <w:right w:val="single" w:color="auto" w:sz="4" w:space="0"/>
            </w:tcBorders>
            <w:vAlign w:val="center"/>
          </w:tcPr>
          <w:p w14:paraId="1D875687">
            <w:pPr>
              <w:widowControl/>
              <w:spacing w:line="240" w:lineRule="exact"/>
              <w:jc w:val="left"/>
              <w:rPr>
                <w:rFonts w:hint="eastAsia" w:ascii="等线" w:hAnsi="等线" w:eastAsia="等线" w:cs="宋体"/>
                <w:b/>
                <w:bCs/>
                <w:color w:val="000000"/>
                <w:kern w:val="0"/>
                <w:sz w:val="15"/>
                <w:szCs w:val="15"/>
              </w:rPr>
            </w:pPr>
          </w:p>
        </w:tc>
        <w:tc>
          <w:tcPr>
            <w:tcW w:w="1003" w:type="pct"/>
            <w:tcBorders>
              <w:top w:val="nil"/>
              <w:left w:val="nil"/>
              <w:bottom w:val="single" w:color="auto" w:sz="4" w:space="0"/>
              <w:right w:val="single" w:color="auto" w:sz="4" w:space="0"/>
            </w:tcBorders>
            <w:vAlign w:val="center"/>
          </w:tcPr>
          <w:p w14:paraId="086DDEBB">
            <w:pPr>
              <w:widowControl/>
              <w:spacing w:line="240" w:lineRule="exact"/>
              <w:jc w:val="center"/>
              <w:rPr>
                <w:rFonts w:hint="eastAsia" w:ascii="等线" w:hAnsi="等线" w:eastAsia="等线" w:cs="宋体"/>
                <w:b/>
                <w:bCs/>
                <w:color w:val="000000"/>
                <w:kern w:val="0"/>
                <w:sz w:val="15"/>
                <w:szCs w:val="15"/>
              </w:rPr>
            </w:pPr>
            <w:r>
              <w:rPr>
                <w:rFonts w:hint="eastAsia" w:ascii="等线" w:hAnsi="等线" w:eastAsia="等线" w:cs="宋体"/>
                <w:b/>
                <w:bCs/>
                <w:color w:val="000000"/>
                <w:kern w:val="0"/>
                <w:sz w:val="15"/>
                <w:szCs w:val="15"/>
              </w:rPr>
              <w:t>海湾GCC、SASO、MOIAT认证案例（20分）</w:t>
            </w:r>
          </w:p>
        </w:tc>
        <w:tc>
          <w:tcPr>
            <w:tcW w:w="329" w:type="pct"/>
            <w:tcBorders>
              <w:top w:val="nil"/>
              <w:left w:val="nil"/>
              <w:bottom w:val="single" w:color="auto" w:sz="4" w:space="0"/>
              <w:right w:val="single" w:color="auto" w:sz="4" w:space="0"/>
            </w:tcBorders>
            <w:vAlign w:val="center"/>
          </w:tcPr>
          <w:p w14:paraId="731F00DA">
            <w:pPr>
              <w:widowControl/>
              <w:spacing w:line="240" w:lineRule="exact"/>
              <w:jc w:val="center"/>
              <w:rPr>
                <w:rFonts w:hint="eastAsia" w:ascii="等线" w:hAnsi="等线" w:eastAsia="等线" w:cs="宋体"/>
                <w:b/>
                <w:bCs/>
                <w:color w:val="000000"/>
                <w:kern w:val="0"/>
                <w:sz w:val="15"/>
                <w:szCs w:val="15"/>
              </w:rPr>
            </w:pPr>
            <w:r>
              <w:rPr>
                <w:rFonts w:hint="eastAsia" w:ascii="等线" w:hAnsi="等线" w:eastAsia="等线" w:cs="宋体"/>
                <w:b/>
                <w:bCs/>
                <w:color w:val="000000"/>
                <w:kern w:val="0"/>
                <w:sz w:val="15"/>
                <w:szCs w:val="15"/>
              </w:rPr>
              <w:t>20%</w:t>
            </w:r>
          </w:p>
        </w:tc>
        <w:tc>
          <w:tcPr>
            <w:tcW w:w="2015" w:type="pct"/>
            <w:tcBorders>
              <w:top w:val="nil"/>
              <w:left w:val="nil"/>
              <w:bottom w:val="single" w:color="auto" w:sz="4" w:space="0"/>
              <w:right w:val="single" w:color="auto" w:sz="4" w:space="0"/>
            </w:tcBorders>
            <w:vAlign w:val="center"/>
          </w:tcPr>
          <w:p w14:paraId="6E59833A">
            <w:pPr>
              <w:widowControl/>
              <w:spacing w:line="240" w:lineRule="exact"/>
              <w:jc w:val="left"/>
              <w:rPr>
                <w:rFonts w:hint="eastAsia" w:ascii="等线" w:hAnsi="等线" w:eastAsia="等线" w:cs="宋体"/>
                <w:b/>
                <w:bCs/>
                <w:color w:val="000000"/>
                <w:kern w:val="0"/>
                <w:sz w:val="15"/>
                <w:szCs w:val="15"/>
              </w:rPr>
            </w:pPr>
            <w:r>
              <w:rPr>
                <w:rFonts w:hint="eastAsia" w:ascii="等线" w:hAnsi="等线" w:eastAsia="等线" w:cs="宋体"/>
                <w:b/>
                <w:bCs/>
                <w:color w:val="auto"/>
                <w:kern w:val="0"/>
                <w:sz w:val="15"/>
                <w:szCs w:val="15"/>
              </w:rPr>
              <w:t>分别提供5份及以上签约日期在2022年1月1日及以后的国内整车制造企业的油车与电车GCC、SASO、MOIAT认证认证框架协议、开口合同</w:t>
            </w:r>
            <w:r>
              <w:rPr>
                <w:rFonts w:hint="eastAsia" w:ascii="等线" w:hAnsi="等线" w:eastAsia="等线" w:cs="宋体"/>
                <w:b/>
                <w:bCs/>
                <w:color w:val="FF0000"/>
                <w:kern w:val="0"/>
                <w:sz w:val="15"/>
                <w:szCs w:val="15"/>
              </w:rPr>
              <w:t>（★包含M3类车辆认证，若不包含M3类则该项不得分）</w:t>
            </w:r>
          </w:p>
        </w:tc>
        <w:tc>
          <w:tcPr>
            <w:tcW w:w="862" w:type="pct"/>
            <w:vMerge w:val="continue"/>
            <w:tcBorders>
              <w:left w:val="nil"/>
              <w:right w:val="single" w:color="auto" w:sz="4" w:space="0"/>
            </w:tcBorders>
            <w:vAlign w:val="center"/>
          </w:tcPr>
          <w:p w14:paraId="40E4F712">
            <w:pPr>
              <w:widowControl/>
              <w:spacing w:line="240" w:lineRule="exact"/>
              <w:jc w:val="left"/>
              <w:rPr>
                <w:rFonts w:hint="eastAsia" w:ascii="等线" w:hAnsi="等线" w:eastAsia="等线" w:cs="宋体"/>
                <w:b/>
                <w:bCs/>
                <w:color w:val="0000FF"/>
                <w:kern w:val="0"/>
                <w:sz w:val="15"/>
                <w:szCs w:val="15"/>
              </w:rPr>
            </w:pPr>
          </w:p>
        </w:tc>
      </w:tr>
      <w:tr w14:paraId="5491CC37">
        <w:tblPrEx>
          <w:tblCellMar>
            <w:top w:w="0" w:type="dxa"/>
            <w:left w:w="108" w:type="dxa"/>
            <w:bottom w:w="0" w:type="dxa"/>
            <w:right w:w="108" w:type="dxa"/>
          </w:tblCellMar>
        </w:tblPrEx>
        <w:trPr>
          <w:trHeight w:val="480" w:hRule="atLeast"/>
          <w:jc w:val="center"/>
        </w:trPr>
        <w:tc>
          <w:tcPr>
            <w:tcW w:w="218" w:type="pct"/>
            <w:vMerge w:val="continue"/>
            <w:tcBorders>
              <w:top w:val="nil"/>
              <w:left w:val="single" w:color="auto" w:sz="4" w:space="0"/>
              <w:bottom w:val="single" w:color="auto" w:sz="4" w:space="0"/>
              <w:right w:val="single" w:color="auto" w:sz="4" w:space="0"/>
            </w:tcBorders>
            <w:vAlign w:val="center"/>
          </w:tcPr>
          <w:p w14:paraId="741B81F0">
            <w:pPr>
              <w:widowControl/>
              <w:spacing w:line="240" w:lineRule="exact"/>
              <w:jc w:val="left"/>
              <w:rPr>
                <w:rFonts w:hint="eastAsia" w:ascii="等线" w:hAnsi="等线" w:eastAsia="等线" w:cs="宋体"/>
                <w:b/>
                <w:bCs/>
                <w:color w:val="000000"/>
                <w:kern w:val="0"/>
                <w:sz w:val="15"/>
                <w:szCs w:val="15"/>
              </w:rPr>
            </w:pPr>
          </w:p>
        </w:tc>
        <w:tc>
          <w:tcPr>
            <w:tcW w:w="571" w:type="pct"/>
            <w:vMerge w:val="continue"/>
            <w:tcBorders>
              <w:top w:val="nil"/>
              <w:left w:val="single" w:color="auto" w:sz="4" w:space="0"/>
              <w:bottom w:val="single" w:color="auto" w:sz="4" w:space="0"/>
              <w:right w:val="single" w:color="auto" w:sz="4" w:space="0"/>
            </w:tcBorders>
            <w:vAlign w:val="center"/>
          </w:tcPr>
          <w:p w14:paraId="53AC2C9A">
            <w:pPr>
              <w:widowControl/>
              <w:spacing w:line="240" w:lineRule="exact"/>
              <w:jc w:val="left"/>
              <w:rPr>
                <w:rFonts w:hint="eastAsia" w:ascii="等线" w:hAnsi="等线" w:eastAsia="等线" w:cs="宋体"/>
                <w:b/>
                <w:bCs/>
                <w:color w:val="000000"/>
                <w:kern w:val="0"/>
                <w:sz w:val="15"/>
                <w:szCs w:val="15"/>
              </w:rPr>
            </w:pPr>
          </w:p>
        </w:tc>
        <w:tc>
          <w:tcPr>
            <w:tcW w:w="1003" w:type="pct"/>
            <w:tcBorders>
              <w:top w:val="nil"/>
              <w:left w:val="nil"/>
              <w:bottom w:val="single" w:color="auto" w:sz="4" w:space="0"/>
              <w:right w:val="single" w:color="auto" w:sz="4" w:space="0"/>
            </w:tcBorders>
            <w:vAlign w:val="center"/>
          </w:tcPr>
          <w:p w14:paraId="225F00AD">
            <w:pPr>
              <w:widowControl/>
              <w:spacing w:line="240" w:lineRule="exact"/>
              <w:jc w:val="center"/>
              <w:rPr>
                <w:rFonts w:hint="eastAsia" w:ascii="等线" w:hAnsi="等线" w:eastAsia="等线" w:cs="宋体"/>
                <w:b/>
                <w:bCs/>
                <w:color w:val="000000"/>
                <w:kern w:val="0"/>
                <w:sz w:val="15"/>
                <w:szCs w:val="15"/>
              </w:rPr>
            </w:pPr>
            <w:r>
              <w:rPr>
                <w:rFonts w:hint="eastAsia" w:ascii="等线" w:hAnsi="等线" w:eastAsia="等线" w:cs="宋体"/>
                <w:b/>
                <w:bCs/>
                <w:color w:val="000000"/>
                <w:kern w:val="0"/>
                <w:sz w:val="15"/>
                <w:szCs w:val="15"/>
              </w:rPr>
              <w:t>技术实施能力（20分）</w:t>
            </w:r>
          </w:p>
        </w:tc>
        <w:tc>
          <w:tcPr>
            <w:tcW w:w="329" w:type="pct"/>
            <w:tcBorders>
              <w:top w:val="nil"/>
              <w:left w:val="nil"/>
              <w:bottom w:val="single" w:color="auto" w:sz="4" w:space="0"/>
              <w:right w:val="single" w:color="auto" w:sz="4" w:space="0"/>
            </w:tcBorders>
            <w:vAlign w:val="center"/>
          </w:tcPr>
          <w:p w14:paraId="1BD67D4A">
            <w:pPr>
              <w:widowControl/>
              <w:spacing w:line="240" w:lineRule="exact"/>
              <w:jc w:val="center"/>
              <w:rPr>
                <w:rFonts w:hint="eastAsia" w:ascii="等线" w:hAnsi="等线" w:eastAsia="等线" w:cs="宋体"/>
                <w:b/>
                <w:bCs/>
                <w:color w:val="000000"/>
                <w:kern w:val="0"/>
                <w:sz w:val="15"/>
                <w:szCs w:val="15"/>
              </w:rPr>
            </w:pPr>
            <w:r>
              <w:rPr>
                <w:rFonts w:hint="eastAsia" w:ascii="等线" w:hAnsi="等线" w:eastAsia="等线" w:cs="宋体"/>
                <w:b/>
                <w:bCs/>
                <w:color w:val="000000"/>
                <w:kern w:val="0"/>
                <w:sz w:val="15"/>
                <w:szCs w:val="15"/>
              </w:rPr>
              <w:t>20%</w:t>
            </w:r>
          </w:p>
        </w:tc>
        <w:tc>
          <w:tcPr>
            <w:tcW w:w="2015" w:type="pct"/>
            <w:tcBorders>
              <w:top w:val="nil"/>
              <w:left w:val="nil"/>
              <w:bottom w:val="single" w:color="auto" w:sz="4" w:space="0"/>
              <w:right w:val="single" w:color="auto" w:sz="4" w:space="0"/>
            </w:tcBorders>
            <w:vAlign w:val="center"/>
          </w:tcPr>
          <w:p w14:paraId="155570B8">
            <w:pPr>
              <w:widowControl/>
              <w:spacing w:line="240" w:lineRule="exact"/>
              <w:jc w:val="left"/>
              <w:rPr>
                <w:rFonts w:hint="eastAsia" w:ascii="等线" w:hAnsi="等线" w:eastAsia="等线" w:cs="宋体"/>
                <w:b/>
                <w:bCs/>
                <w:color w:val="000000"/>
                <w:kern w:val="0"/>
                <w:sz w:val="15"/>
                <w:szCs w:val="15"/>
              </w:rPr>
            </w:pPr>
            <w:r>
              <w:rPr>
                <w:rFonts w:hint="eastAsia" w:ascii="等线" w:hAnsi="等线" w:eastAsia="等线" w:cs="宋体"/>
                <w:b/>
                <w:bCs/>
                <w:color w:val="000000"/>
                <w:kern w:val="0"/>
                <w:sz w:val="15"/>
                <w:szCs w:val="15"/>
              </w:rPr>
              <w:t>提供相关技术人员工作简历</w:t>
            </w:r>
          </w:p>
        </w:tc>
        <w:tc>
          <w:tcPr>
            <w:tcW w:w="862" w:type="pct"/>
            <w:vMerge w:val="continue"/>
            <w:tcBorders>
              <w:left w:val="nil"/>
              <w:bottom w:val="single" w:color="auto" w:sz="4" w:space="0"/>
              <w:right w:val="single" w:color="auto" w:sz="4" w:space="0"/>
            </w:tcBorders>
            <w:vAlign w:val="center"/>
          </w:tcPr>
          <w:p w14:paraId="1A88652D">
            <w:pPr>
              <w:widowControl/>
              <w:spacing w:line="240" w:lineRule="exact"/>
              <w:jc w:val="left"/>
              <w:rPr>
                <w:rFonts w:hint="eastAsia" w:ascii="等线" w:hAnsi="等线" w:eastAsia="等线" w:cs="宋体"/>
                <w:b/>
                <w:bCs/>
                <w:color w:val="000000"/>
                <w:kern w:val="0"/>
                <w:sz w:val="15"/>
                <w:szCs w:val="15"/>
              </w:rPr>
            </w:pPr>
          </w:p>
        </w:tc>
      </w:tr>
    </w:tbl>
    <w:p w14:paraId="1A1662ED">
      <w:pPr>
        <w:rPr>
          <w:rFonts w:hint="eastAsia" w:ascii="等线" w:hAnsi="等线" w:eastAsia="等线"/>
          <w:b/>
          <w:bCs/>
          <w:highlight w:val="yellow"/>
        </w:rPr>
      </w:pPr>
    </w:p>
    <w:p w14:paraId="0DED13AD">
      <w:pPr>
        <w:rPr>
          <w:rFonts w:hint="eastAsia" w:ascii="等线" w:hAnsi="等线" w:eastAsia="等线"/>
          <w:b/>
          <w:bCs/>
          <w:highlight w:val="yellow"/>
        </w:rPr>
      </w:pPr>
    </w:p>
    <w:p w14:paraId="49899341">
      <w:pPr>
        <w:rPr>
          <w:rFonts w:hint="eastAsia" w:ascii="等线" w:hAnsi="等线" w:eastAsia="等线"/>
          <w:b/>
          <w:bCs/>
        </w:rPr>
      </w:pPr>
    </w:p>
    <w:p w14:paraId="41827FCE">
      <w:pPr>
        <w:rPr>
          <w:rFonts w:hint="eastAsia" w:ascii="等线" w:hAnsi="等线" w:eastAsia="等线"/>
          <w:b/>
          <w:bCs/>
        </w:rPr>
      </w:pPr>
      <w:r>
        <w:rPr>
          <w:rFonts w:hint="eastAsia"/>
          <w:b/>
          <w:bCs/>
        </w:rPr>
        <w:t>表一：</w:t>
      </w:r>
      <w:r>
        <w:rPr>
          <w:rFonts w:hint="eastAsia" w:ascii="等线" w:hAnsi="等线" w:eastAsia="等线"/>
          <w:b/>
          <w:bCs/>
        </w:rPr>
        <w:t>供应商能力审核评审项目/评分标准</w:t>
      </w:r>
    </w:p>
    <w:tbl>
      <w:tblPr>
        <w:tblStyle w:val="9"/>
        <w:tblW w:w="3829" w:type="pct"/>
        <w:jc w:val="center"/>
        <w:tblLayout w:type="autofit"/>
        <w:tblCellMar>
          <w:top w:w="0" w:type="dxa"/>
          <w:left w:w="108" w:type="dxa"/>
          <w:bottom w:w="0" w:type="dxa"/>
          <w:right w:w="108" w:type="dxa"/>
        </w:tblCellMar>
      </w:tblPr>
      <w:tblGrid>
        <w:gridCol w:w="480"/>
        <w:gridCol w:w="1260"/>
        <w:gridCol w:w="2212"/>
        <w:gridCol w:w="723"/>
        <w:gridCol w:w="5655"/>
        <w:gridCol w:w="1479"/>
      </w:tblGrid>
      <w:tr w14:paraId="13663B8B">
        <w:tblPrEx>
          <w:tblCellMar>
            <w:top w:w="0" w:type="dxa"/>
            <w:left w:w="108" w:type="dxa"/>
            <w:bottom w:w="0" w:type="dxa"/>
            <w:right w:w="108" w:type="dxa"/>
          </w:tblCellMar>
        </w:tblPrEx>
        <w:trPr>
          <w:trHeight w:val="97" w:hRule="atLeast"/>
          <w:jc w:val="center"/>
        </w:trPr>
        <w:tc>
          <w:tcPr>
            <w:tcW w:w="203" w:type="pct"/>
            <w:tcBorders>
              <w:top w:val="single" w:color="auto" w:sz="4" w:space="0"/>
              <w:left w:val="single" w:color="auto" w:sz="4" w:space="0"/>
              <w:bottom w:val="single" w:color="auto" w:sz="4" w:space="0"/>
              <w:right w:val="single" w:color="auto" w:sz="4" w:space="0"/>
            </w:tcBorders>
            <w:vAlign w:val="center"/>
          </w:tcPr>
          <w:p w14:paraId="3371474B">
            <w:pPr>
              <w:widowControl/>
              <w:spacing w:line="240" w:lineRule="exact"/>
              <w:jc w:val="center"/>
              <w:rPr>
                <w:rFonts w:hint="eastAsia" w:ascii="等线" w:hAnsi="等线" w:eastAsia="等线" w:cs="宋体"/>
                <w:b/>
                <w:bCs/>
                <w:color w:val="000000"/>
                <w:kern w:val="0"/>
                <w:sz w:val="15"/>
                <w:szCs w:val="15"/>
              </w:rPr>
            </w:pPr>
            <w:r>
              <w:rPr>
                <w:rFonts w:hint="eastAsia" w:ascii="等线" w:hAnsi="等线" w:eastAsia="等线" w:cs="宋体"/>
                <w:b/>
                <w:bCs/>
                <w:color w:val="000000"/>
                <w:kern w:val="0"/>
                <w:sz w:val="15"/>
                <w:szCs w:val="15"/>
              </w:rPr>
              <w:t>序</w:t>
            </w:r>
          </w:p>
        </w:tc>
        <w:tc>
          <w:tcPr>
            <w:tcW w:w="533" w:type="pct"/>
            <w:tcBorders>
              <w:top w:val="single" w:color="auto" w:sz="4" w:space="0"/>
              <w:left w:val="single" w:color="auto" w:sz="4" w:space="0"/>
              <w:bottom w:val="single" w:color="auto" w:sz="4" w:space="0"/>
              <w:right w:val="single" w:color="auto" w:sz="4" w:space="0"/>
            </w:tcBorders>
            <w:vAlign w:val="center"/>
          </w:tcPr>
          <w:p w14:paraId="2E839CF0">
            <w:pPr>
              <w:widowControl/>
              <w:spacing w:line="240" w:lineRule="exact"/>
              <w:jc w:val="center"/>
              <w:rPr>
                <w:rFonts w:hint="eastAsia" w:ascii="等线" w:hAnsi="等线" w:eastAsia="等线" w:cs="宋体"/>
                <w:b/>
                <w:bCs/>
                <w:color w:val="000000"/>
                <w:kern w:val="0"/>
                <w:sz w:val="15"/>
                <w:szCs w:val="15"/>
              </w:rPr>
            </w:pPr>
            <w:r>
              <w:rPr>
                <w:rFonts w:hint="eastAsia" w:ascii="等线" w:hAnsi="等线" w:eastAsia="等线" w:cs="宋体"/>
                <w:b/>
                <w:bCs/>
                <w:color w:val="000000"/>
                <w:kern w:val="0"/>
                <w:sz w:val="15"/>
                <w:szCs w:val="15"/>
              </w:rPr>
              <w:t>评审方向</w:t>
            </w:r>
          </w:p>
        </w:tc>
        <w:tc>
          <w:tcPr>
            <w:tcW w:w="936" w:type="pct"/>
            <w:tcBorders>
              <w:top w:val="single" w:color="auto" w:sz="4" w:space="0"/>
              <w:left w:val="nil"/>
              <w:bottom w:val="single" w:color="auto" w:sz="4" w:space="0"/>
              <w:right w:val="single" w:color="auto" w:sz="4" w:space="0"/>
            </w:tcBorders>
            <w:vAlign w:val="center"/>
          </w:tcPr>
          <w:p w14:paraId="0264877B">
            <w:pPr>
              <w:widowControl/>
              <w:spacing w:line="240" w:lineRule="exact"/>
              <w:jc w:val="center"/>
              <w:rPr>
                <w:rFonts w:hint="eastAsia" w:ascii="等线" w:hAnsi="等线" w:eastAsia="等线" w:cs="宋体"/>
                <w:b/>
                <w:bCs/>
                <w:color w:val="000000"/>
                <w:kern w:val="0"/>
                <w:sz w:val="15"/>
                <w:szCs w:val="15"/>
              </w:rPr>
            </w:pPr>
            <w:r>
              <w:rPr>
                <w:rFonts w:hint="eastAsia" w:ascii="等线" w:hAnsi="等线" w:eastAsia="等线" w:cs="宋体"/>
                <w:b/>
                <w:bCs/>
                <w:color w:val="000000"/>
                <w:kern w:val="0"/>
                <w:sz w:val="15"/>
                <w:szCs w:val="15"/>
              </w:rPr>
              <w:t>评审内容</w:t>
            </w:r>
          </w:p>
        </w:tc>
        <w:tc>
          <w:tcPr>
            <w:tcW w:w="306" w:type="pct"/>
            <w:tcBorders>
              <w:top w:val="single" w:color="auto" w:sz="4" w:space="0"/>
              <w:left w:val="nil"/>
              <w:bottom w:val="single" w:color="auto" w:sz="4" w:space="0"/>
              <w:right w:val="single" w:color="auto" w:sz="4" w:space="0"/>
            </w:tcBorders>
            <w:vAlign w:val="center"/>
          </w:tcPr>
          <w:p w14:paraId="612BB074">
            <w:pPr>
              <w:widowControl/>
              <w:spacing w:line="240" w:lineRule="exact"/>
              <w:jc w:val="center"/>
              <w:rPr>
                <w:rFonts w:hint="eastAsia" w:ascii="等线" w:hAnsi="等线" w:eastAsia="等线" w:cs="宋体"/>
                <w:b/>
                <w:bCs/>
                <w:color w:val="000000"/>
                <w:kern w:val="0"/>
                <w:szCs w:val="21"/>
              </w:rPr>
            </w:pPr>
            <w:r>
              <w:rPr>
                <w:rFonts w:hint="eastAsia" w:ascii="等线" w:hAnsi="等线" w:eastAsia="等线" w:cs="宋体"/>
                <w:b/>
                <w:bCs/>
                <w:color w:val="000000"/>
                <w:kern w:val="0"/>
                <w:sz w:val="15"/>
                <w:szCs w:val="15"/>
              </w:rPr>
              <w:t>分值占比</w:t>
            </w:r>
          </w:p>
        </w:tc>
        <w:tc>
          <w:tcPr>
            <w:tcW w:w="2393" w:type="pct"/>
            <w:tcBorders>
              <w:top w:val="single" w:color="auto" w:sz="4" w:space="0"/>
              <w:left w:val="nil"/>
              <w:bottom w:val="single" w:color="auto" w:sz="4" w:space="0"/>
              <w:right w:val="single" w:color="auto" w:sz="4" w:space="0"/>
            </w:tcBorders>
            <w:vAlign w:val="center"/>
          </w:tcPr>
          <w:p w14:paraId="102E418B">
            <w:pPr>
              <w:widowControl/>
              <w:spacing w:line="240" w:lineRule="exact"/>
              <w:jc w:val="center"/>
              <w:rPr>
                <w:rFonts w:hint="eastAsia" w:ascii="等线" w:hAnsi="等线" w:eastAsia="等线" w:cs="宋体"/>
                <w:b/>
                <w:bCs/>
                <w:color w:val="000000"/>
                <w:kern w:val="0"/>
                <w:sz w:val="15"/>
                <w:szCs w:val="15"/>
              </w:rPr>
            </w:pPr>
            <w:r>
              <w:rPr>
                <w:rFonts w:hint="eastAsia" w:ascii="等线" w:hAnsi="等线" w:eastAsia="等线" w:cs="宋体"/>
                <w:b/>
                <w:bCs/>
                <w:color w:val="000000"/>
                <w:kern w:val="0"/>
                <w:sz w:val="15"/>
                <w:szCs w:val="15"/>
              </w:rPr>
              <w:t>说明</w:t>
            </w:r>
          </w:p>
        </w:tc>
        <w:tc>
          <w:tcPr>
            <w:tcW w:w="626" w:type="pct"/>
            <w:tcBorders>
              <w:top w:val="single" w:color="auto" w:sz="4" w:space="0"/>
              <w:left w:val="single" w:color="auto" w:sz="4" w:space="0"/>
              <w:bottom w:val="single" w:color="auto" w:sz="4" w:space="0"/>
              <w:right w:val="single" w:color="auto" w:sz="4" w:space="0"/>
            </w:tcBorders>
            <w:vAlign w:val="center"/>
          </w:tcPr>
          <w:p w14:paraId="450AE111">
            <w:pPr>
              <w:widowControl/>
              <w:spacing w:line="240" w:lineRule="exact"/>
              <w:jc w:val="center"/>
              <w:rPr>
                <w:rFonts w:hint="eastAsia" w:ascii="等线" w:hAnsi="等线" w:eastAsia="等线" w:cs="宋体"/>
                <w:color w:val="000000"/>
                <w:kern w:val="0"/>
                <w:sz w:val="15"/>
                <w:szCs w:val="15"/>
              </w:rPr>
            </w:pPr>
            <w:r>
              <w:rPr>
                <w:rFonts w:hint="eastAsia" w:ascii="等线" w:hAnsi="等线" w:eastAsia="等线" w:cs="宋体"/>
                <w:b/>
                <w:bCs/>
                <w:color w:val="000000"/>
                <w:kern w:val="0"/>
                <w:sz w:val="15"/>
                <w:szCs w:val="15"/>
              </w:rPr>
              <w:t>备注</w:t>
            </w:r>
          </w:p>
        </w:tc>
      </w:tr>
      <w:tr w14:paraId="1037C914">
        <w:tblPrEx>
          <w:tblCellMar>
            <w:top w:w="0" w:type="dxa"/>
            <w:left w:w="108" w:type="dxa"/>
            <w:bottom w:w="0" w:type="dxa"/>
            <w:right w:w="108" w:type="dxa"/>
          </w:tblCellMar>
        </w:tblPrEx>
        <w:trPr>
          <w:trHeight w:val="940" w:hRule="atLeast"/>
          <w:jc w:val="center"/>
        </w:trPr>
        <w:tc>
          <w:tcPr>
            <w:tcW w:w="203" w:type="pct"/>
            <w:vMerge w:val="restart"/>
            <w:tcBorders>
              <w:top w:val="single" w:color="auto" w:sz="4" w:space="0"/>
              <w:left w:val="single" w:color="auto" w:sz="4" w:space="0"/>
              <w:bottom w:val="single" w:color="auto" w:sz="4" w:space="0"/>
              <w:right w:val="single" w:color="auto" w:sz="4" w:space="0"/>
            </w:tcBorders>
            <w:vAlign w:val="center"/>
          </w:tcPr>
          <w:p w14:paraId="7920C11C">
            <w:pPr>
              <w:widowControl/>
              <w:spacing w:line="240" w:lineRule="exact"/>
              <w:jc w:val="center"/>
              <w:rPr>
                <w:rFonts w:hint="eastAsia" w:ascii="等线" w:hAnsi="等线" w:eastAsia="等线" w:cs="等线"/>
                <w:b/>
                <w:bCs/>
                <w:color w:val="000000"/>
                <w:kern w:val="0"/>
                <w:sz w:val="15"/>
                <w:szCs w:val="15"/>
              </w:rPr>
            </w:pPr>
            <w:r>
              <w:rPr>
                <w:rFonts w:hint="eastAsia" w:ascii="等线" w:hAnsi="等线" w:eastAsia="等线" w:cs="等线"/>
                <w:b/>
                <w:bCs/>
                <w:color w:val="000000"/>
                <w:kern w:val="0"/>
                <w:sz w:val="15"/>
                <w:szCs w:val="15"/>
              </w:rPr>
              <w:t>1</w:t>
            </w:r>
          </w:p>
        </w:tc>
        <w:tc>
          <w:tcPr>
            <w:tcW w:w="533" w:type="pct"/>
            <w:vMerge w:val="restart"/>
            <w:tcBorders>
              <w:top w:val="single" w:color="auto" w:sz="4" w:space="0"/>
              <w:left w:val="single" w:color="auto" w:sz="4" w:space="0"/>
              <w:bottom w:val="single" w:color="auto" w:sz="4" w:space="0"/>
              <w:right w:val="single" w:color="auto" w:sz="4" w:space="0"/>
            </w:tcBorders>
            <w:vAlign w:val="center"/>
          </w:tcPr>
          <w:p w14:paraId="1CAED6F6">
            <w:pPr>
              <w:widowControl/>
              <w:spacing w:line="240" w:lineRule="exact"/>
              <w:jc w:val="center"/>
              <w:rPr>
                <w:rFonts w:hint="eastAsia" w:ascii="等线" w:hAnsi="等线" w:eastAsia="等线" w:cs="等线"/>
                <w:b/>
                <w:bCs/>
                <w:kern w:val="0"/>
                <w:sz w:val="15"/>
                <w:szCs w:val="15"/>
              </w:rPr>
            </w:pPr>
            <w:r>
              <w:rPr>
                <w:rFonts w:hint="eastAsia" w:ascii="等线" w:hAnsi="等线" w:eastAsia="等线" w:cs="等线"/>
                <w:b/>
                <w:bCs/>
                <w:kern w:val="0"/>
                <w:sz w:val="15"/>
                <w:szCs w:val="15"/>
              </w:rPr>
              <w:t>资历Q</w:t>
            </w:r>
          </w:p>
          <w:p w14:paraId="0289D38A">
            <w:pPr>
              <w:widowControl/>
              <w:spacing w:line="240" w:lineRule="exact"/>
              <w:jc w:val="center"/>
              <w:rPr>
                <w:rFonts w:hint="eastAsia" w:ascii="等线" w:hAnsi="等线" w:eastAsia="等线" w:cs="等线"/>
                <w:b/>
                <w:bCs/>
                <w:kern w:val="0"/>
                <w:sz w:val="15"/>
                <w:szCs w:val="15"/>
              </w:rPr>
            </w:pPr>
            <w:r>
              <w:rPr>
                <w:rFonts w:hint="eastAsia" w:ascii="等线" w:hAnsi="等线" w:eastAsia="等线" w:cs="等线"/>
                <w:b/>
                <w:bCs/>
                <w:kern w:val="0"/>
                <w:sz w:val="15"/>
                <w:szCs w:val="15"/>
              </w:rPr>
              <w:t>（100分）</w:t>
            </w:r>
          </w:p>
        </w:tc>
        <w:tc>
          <w:tcPr>
            <w:tcW w:w="936" w:type="pct"/>
            <w:tcBorders>
              <w:top w:val="single" w:color="auto" w:sz="4" w:space="0"/>
              <w:left w:val="nil"/>
              <w:bottom w:val="single" w:color="auto" w:sz="4" w:space="0"/>
              <w:right w:val="single" w:color="auto" w:sz="4" w:space="0"/>
            </w:tcBorders>
            <w:vAlign w:val="center"/>
          </w:tcPr>
          <w:p w14:paraId="7B7E80E7">
            <w:pPr>
              <w:widowControl/>
              <w:spacing w:line="240" w:lineRule="exact"/>
              <w:jc w:val="center"/>
              <w:rPr>
                <w:rFonts w:hint="eastAsia" w:ascii="等线" w:hAnsi="等线" w:eastAsia="等线" w:cs="等线"/>
                <w:color w:val="000000"/>
                <w:kern w:val="0"/>
                <w:sz w:val="15"/>
                <w:szCs w:val="15"/>
              </w:rPr>
            </w:pPr>
            <w:r>
              <w:rPr>
                <w:rFonts w:hint="eastAsia" w:ascii="等线" w:hAnsi="等线" w:eastAsia="等线" w:cs="等线"/>
                <w:b/>
                <w:bCs/>
                <w:color w:val="000000"/>
                <w:kern w:val="0"/>
                <w:sz w:val="15"/>
                <w:szCs w:val="15"/>
              </w:rPr>
              <w:t>从事海湾国家油车GCC认证业务年限（20分）</w:t>
            </w:r>
          </w:p>
        </w:tc>
        <w:tc>
          <w:tcPr>
            <w:tcW w:w="306" w:type="pct"/>
            <w:tcBorders>
              <w:top w:val="single" w:color="auto" w:sz="4" w:space="0"/>
              <w:left w:val="nil"/>
              <w:bottom w:val="single" w:color="auto" w:sz="4" w:space="0"/>
              <w:right w:val="single" w:color="auto" w:sz="4" w:space="0"/>
            </w:tcBorders>
            <w:vAlign w:val="center"/>
          </w:tcPr>
          <w:p w14:paraId="0BDEF622">
            <w:pPr>
              <w:widowControl/>
              <w:spacing w:line="240" w:lineRule="exact"/>
              <w:jc w:val="center"/>
              <w:rPr>
                <w:rFonts w:hint="eastAsia" w:ascii="等线" w:hAnsi="等线" w:eastAsia="等线" w:cs="等线"/>
                <w:b/>
                <w:bCs/>
                <w:color w:val="000000"/>
                <w:kern w:val="0"/>
                <w:sz w:val="15"/>
                <w:szCs w:val="15"/>
              </w:rPr>
            </w:pPr>
          </w:p>
        </w:tc>
        <w:tc>
          <w:tcPr>
            <w:tcW w:w="2393" w:type="pct"/>
            <w:tcBorders>
              <w:top w:val="single" w:color="auto" w:sz="4" w:space="0"/>
              <w:left w:val="nil"/>
              <w:bottom w:val="single" w:color="auto" w:sz="4" w:space="0"/>
              <w:right w:val="single" w:color="auto" w:sz="4" w:space="0"/>
            </w:tcBorders>
            <w:vAlign w:val="center"/>
          </w:tcPr>
          <w:p w14:paraId="42025B0C">
            <w:pPr>
              <w:widowControl/>
              <w:spacing w:line="240" w:lineRule="exact"/>
              <w:jc w:val="left"/>
              <w:rPr>
                <w:rFonts w:hint="eastAsia" w:ascii="等线" w:hAnsi="等线" w:eastAsia="等线" w:cs="等线"/>
                <w:b/>
                <w:bCs/>
                <w:color w:val="000000"/>
                <w:kern w:val="0"/>
                <w:sz w:val="15"/>
                <w:szCs w:val="15"/>
              </w:rPr>
            </w:pPr>
            <w:r>
              <w:rPr>
                <w:rFonts w:hint="eastAsia" w:ascii="等线" w:hAnsi="等线" w:eastAsia="等线" w:cs="等线"/>
                <w:b/>
                <w:bCs/>
                <w:color w:val="000000"/>
                <w:kern w:val="0"/>
                <w:sz w:val="15"/>
                <w:szCs w:val="15"/>
              </w:rPr>
              <w:t>①提供营业执照及公司简介说明-盖章。</w:t>
            </w:r>
            <w:r>
              <w:rPr>
                <w:rFonts w:hint="eastAsia" w:ascii="等线" w:hAnsi="等线" w:eastAsia="等线" w:cs="等线"/>
                <w:b/>
                <w:bCs/>
                <w:color w:val="000000"/>
                <w:kern w:val="0"/>
                <w:sz w:val="15"/>
                <w:szCs w:val="15"/>
              </w:rPr>
              <w:br w:type="textWrapping"/>
            </w:r>
            <w:r>
              <w:rPr>
                <w:rFonts w:hint="eastAsia" w:ascii="等线" w:hAnsi="等线" w:eastAsia="等线" w:cs="等线"/>
                <w:b/>
                <w:bCs/>
                <w:color w:val="000000"/>
                <w:kern w:val="0"/>
                <w:sz w:val="15"/>
                <w:szCs w:val="15"/>
              </w:rPr>
              <w:t>②提供一份最早的海湾国家整车GCC项目合作协议，根据签订日期确认业务历史。</w:t>
            </w:r>
          </w:p>
        </w:tc>
        <w:tc>
          <w:tcPr>
            <w:tcW w:w="626" w:type="pct"/>
            <w:vMerge w:val="restart"/>
            <w:tcBorders>
              <w:top w:val="single" w:color="auto" w:sz="4" w:space="0"/>
              <w:left w:val="single" w:color="auto" w:sz="4" w:space="0"/>
              <w:bottom w:val="single" w:color="auto" w:sz="4" w:space="0"/>
              <w:right w:val="single" w:color="auto" w:sz="4" w:space="0"/>
            </w:tcBorders>
            <w:vAlign w:val="center"/>
          </w:tcPr>
          <w:p w14:paraId="17062024">
            <w:pPr>
              <w:widowControl/>
              <w:spacing w:line="240" w:lineRule="exact"/>
              <w:jc w:val="center"/>
              <w:rPr>
                <w:rFonts w:hint="eastAsia" w:ascii="等线" w:hAnsi="等线" w:eastAsia="等线" w:cs="宋体"/>
                <w:color w:val="000000"/>
                <w:kern w:val="0"/>
                <w:sz w:val="15"/>
                <w:szCs w:val="15"/>
              </w:rPr>
            </w:pPr>
            <w:r>
              <w:rPr>
                <w:rFonts w:hint="eastAsia" w:ascii="宋体" w:hAnsi="宋体" w:eastAsia="宋体" w:cs="宋体"/>
                <w:b w:val="0"/>
                <w:bCs w:val="0"/>
                <w:color w:val="000000"/>
                <w:kern w:val="0"/>
                <w:sz w:val="16"/>
                <w:szCs w:val="16"/>
              </w:rPr>
              <w:t>该表中的证明材料如与表0的内容重复也需再提供</w:t>
            </w:r>
          </w:p>
        </w:tc>
      </w:tr>
      <w:tr w14:paraId="4C88C956">
        <w:tblPrEx>
          <w:tblCellMar>
            <w:top w:w="0" w:type="dxa"/>
            <w:left w:w="108" w:type="dxa"/>
            <w:bottom w:w="0" w:type="dxa"/>
            <w:right w:w="108" w:type="dxa"/>
          </w:tblCellMar>
        </w:tblPrEx>
        <w:trPr>
          <w:trHeight w:val="480" w:hRule="atLeast"/>
          <w:jc w:val="center"/>
        </w:trPr>
        <w:tc>
          <w:tcPr>
            <w:tcW w:w="203" w:type="pct"/>
            <w:vMerge w:val="continue"/>
            <w:tcBorders>
              <w:top w:val="nil"/>
              <w:left w:val="single" w:color="auto" w:sz="4" w:space="0"/>
              <w:bottom w:val="single" w:color="auto" w:sz="4" w:space="0"/>
              <w:right w:val="single" w:color="auto" w:sz="4" w:space="0"/>
            </w:tcBorders>
            <w:vAlign w:val="center"/>
          </w:tcPr>
          <w:p w14:paraId="042E85E5">
            <w:pPr>
              <w:widowControl/>
              <w:spacing w:line="240" w:lineRule="exact"/>
              <w:jc w:val="left"/>
              <w:rPr>
                <w:rFonts w:hint="eastAsia" w:ascii="等线" w:hAnsi="等线" w:eastAsia="等线" w:cs="等线"/>
                <w:b/>
                <w:bCs/>
                <w:color w:val="000000"/>
                <w:kern w:val="0"/>
                <w:sz w:val="15"/>
                <w:szCs w:val="15"/>
              </w:rPr>
            </w:pPr>
          </w:p>
        </w:tc>
        <w:tc>
          <w:tcPr>
            <w:tcW w:w="533" w:type="pct"/>
            <w:vMerge w:val="continue"/>
            <w:tcBorders>
              <w:top w:val="nil"/>
              <w:left w:val="single" w:color="auto" w:sz="4" w:space="0"/>
              <w:bottom w:val="single" w:color="auto" w:sz="4" w:space="0"/>
              <w:right w:val="single" w:color="auto" w:sz="4" w:space="0"/>
            </w:tcBorders>
            <w:vAlign w:val="center"/>
          </w:tcPr>
          <w:p w14:paraId="6A7A0A97">
            <w:pPr>
              <w:widowControl/>
              <w:spacing w:line="240" w:lineRule="exact"/>
              <w:jc w:val="left"/>
              <w:rPr>
                <w:rFonts w:hint="eastAsia" w:ascii="等线" w:hAnsi="等线" w:eastAsia="等线" w:cs="等线"/>
                <w:b/>
                <w:bCs/>
                <w:color w:val="000000"/>
                <w:kern w:val="0"/>
                <w:sz w:val="15"/>
                <w:szCs w:val="15"/>
              </w:rPr>
            </w:pPr>
          </w:p>
        </w:tc>
        <w:tc>
          <w:tcPr>
            <w:tcW w:w="936" w:type="pct"/>
            <w:tcBorders>
              <w:top w:val="nil"/>
              <w:left w:val="nil"/>
              <w:bottom w:val="single" w:color="auto" w:sz="4" w:space="0"/>
              <w:right w:val="single" w:color="auto" w:sz="4" w:space="0"/>
            </w:tcBorders>
            <w:vAlign w:val="center"/>
          </w:tcPr>
          <w:p w14:paraId="32FCDA81">
            <w:pPr>
              <w:widowControl/>
              <w:spacing w:line="240" w:lineRule="exact"/>
              <w:jc w:val="center"/>
              <w:rPr>
                <w:rFonts w:hint="eastAsia" w:ascii="等线" w:hAnsi="等线" w:eastAsia="等线" w:cs="等线"/>
                <w:b/>
                <w:bCs/>
                <w:color w:val="000000"/>
                <w:kern w:val="0"/>
                <w:sz w:val="15"/>
                <w:szCs w:val="15"/>
              </w:rPr>
            </w:pPr>
            <w:r>
              <w:rPr>
                <w:rFonts w:hint="eastAsia" w:ascii="等线" w:hAnsi="等线" w:eastAsia="等线" w:cs="等线"/>
                <w:b/>
                <w:bCs/>
                <w:color w:val="000000"/>
                <w:kern w:val="0"/>
                <w:sz w:val="15"/>
                <w:szCs w:val="15"/>
              </w:rPr>
              <w:t>从事海湾国家电车认证业务年限（15分）</w:t>
            </w:r>
          </w:p>
        </w:tc>
        <w:tc>
          <w:tcPr>
            <w:tcW w:w="306" w:type="pct"/>
            <w:tcBorders>
              <w:top w:val="nil"/>
              <w:left w:val="nil"/>
              <w:bottom w:val="single" w:color="auto" w:sz="4" w:space="0"/>
              <w:right w:val="single" w:color="auto" w:sz="4" w:space="0"/>
            </w:tcBorders>
            <w:vAlign w:val="center"/>
          </w:tcPr>
          <w:p w14:paraId="7C785DA9">
            <w:pPr>
              <w:widowControl/>
              <w:spacing w:line="240" w:lineRule="exact"/>
              <w:jc w:val="center"/>
              <w:rPr>
                <w:rFonts w:hint="eastAsia" w:ascii="等线" w:hAnsi="等线" w:eastAsia="等线" w:cs="等线"/>
                <w:b/>
                <w:bCs/>
                <w:color w:val="000000"/>
                <w:kern w:val="0"/>
                <w:sz w:val="15"/>
                <w:szCs w:val="15"/>
              </w:rPr>
            </w:pPr>
          </w:p>
        </w:tc>
        <w:tc>
          <w:tcPr>
            <w:tcW w:w="2393" w:type="pct"/>
            <w:tcBorders>
              <w:top w:val="nil"/>
              <w:left w:val="nil"/>
              <w:bottom w:val="single" w:color="auto" w:sz="4" w:space="0"/>
              <w:right w:val="single" w:color="auto" w:sz="4" w:space="0"/>
            </w:tcBorders>
            <w:vAlign w:val="center"/>
          </w:tcPr>
          <w:p w14:paraId="69E9E046">
            <w:pPr>
              <w:widowControl/>
              <w:spacing w:line="240" w:lineRule="exact"/>
              <w:jc w:val="left"/>
              <w:rPr>
                <w:rFonts w:hint="eastAsia" w:ascii="等线" w:hAnsi="等线" w:eastAsia="等线" w:cs="等线"/>
                <w:b/>
                <w:bCs/>
                <w:color w:val="000000"/>
                <w:kern w:val="0"/>
                <w:sz w:val="15"/>
                <w:szCs w:val="15"/>
              </w:rPr>
            </w:pPr>
            <w:r>
              <w:rPr>
                <w:rFonts w:hint="eastAsia" w:ascii="等线" w:hAnsi="等线" w:eastAsia="等线" w:cs="等线"/>
                <w:b/>
                <w:bCs/>
                <w:kern w:val="0"/>
                <w:sz w:val="15"/>
                <w:szCs w:val="15"/>
              </w:rPr>
              <w:t>①提供营业执照及公司简介说明-盖章。</w:t>
            </w:r>
            <w:r>
              <w:rPr>
                <w:rFonts w:hint="eastAsia" w:ascii="等线" w:hAnsi="等线" w:eastAsia="等线" w:cs="等线"/>
                <w:b/>
                <w:bCs/>
                <w:kern w:val="0"/>
                <w:sz w:val="15"/>
                <w:szCs w:val="15"/>
              </w:rPr>
              <w:br w:type="textWrapping"/>
            </w:r>
            <w:r>
              <w:rPr>
                <w:rFonts w:hint="eastAsia" w:ascii="等线" w:hAnsi="等线" w:eastAsia="等线" w:cs="等线"/>
                <w:b/>
                <w:bCs/>
                <w:kern w:val="0"/>
                <w:sz w:val="15"/>
                <w:szCs w:val="15"/>
              </w:rPr>
              <w:t>②提供一份最早的海湾国家整车电车项目合作协议，根据签订日期确认业务历史。</w:t>
            </w:r>
          </w:p>
        </w:tc>
        <w:tc>
          <w:tcPr>
            <w:tcW w:w="626" w:type="pct"/>
            <w:vMerge w:val="continue"/>
            <w:tcBorders>
              <w:top w:val="nil"/>
              <w:left w:val="single" w:color="auto" w:sz="4" w:space="0"/>
              <w:bottom w:val="single" w:color="auto" w:sz="4" w:space="0"/>
              <w:right w:val="single" w:color="auto" w:sz="4" w:space="0"/>
            </w:tcBorders>
            <w:vAlign w:val="center"/>
          </w:tcPr>
          <w:p w14:paraId="73252CFD">
            <w:pPr>
              <w:widowControl/>
              <w:spacing w:line="240" w:lineRule="exact"/>
              <w:jc w:val="left"/>
              <w:rPr>
                <w:rFonts w:hint="eastAsia" w:ascii="等线" w:hAnsi="等线" w:eastAsia="等线" w:cs="宋体"/>
                <w:color w:val="000000"/>
                <w:kern w:val="0"/>
                <w:sz w:val="15"/>
                <w:szCs w:val="15"/>
              </w:rPr>
            </w:pPr>
          </w:p>
        </w:tc>
      </w:tr>
      <w:tr w14:paraId="0B75A25E">
        <w:tblPrEx>
          <w:tblCellMar>
            <w:top w:w="0" w:type="dxa"/>
            <w:left w:w="108" w:type="dxa"/>
            <w:bottom w:w="0" w:type="dxa"/>
            <w:right w:w="108" w:type="dxa"/>
          </w:tblCellMar>
        </w:tblPrEx>
        <w:trPr>
          <w:trHeight w:val="797" w:hRule="atLeast"/>
          <w:jc w:val="center"/>
        </w:trPr>
        <w:tc>
          <w:tcPr>
            <w:tcW w:w="203" w:type="pct"/>
            <w:vMerge w:val="continue"/>
            <w:tcBorders>
              <w:top w:val="nil"/>
              <w:left w:val="single" w:color="auto" w:sz="4" w:space="0"/>
              <w:bottom w:val="single" w:color="auto" w:sz="4" w:space="0"/>
              <w:right w:val="single" w:color="auto" w:sz="4" w:space="0"/>
            </w:tcBorders>
            <w:vAlign w:val="center"/>
          </w:tcPr>
          <w:p w14:paraId="69B6E89A">
            <w:pPr>
              <w:widowControl/>
              <w:spacing w:line="240" w:lineRule="exact"/>
              <w:jc w:val="left"/>
              <w:rPr>
                <w:rFonts w:hint="eastAsia" w:ascii="等线" w:hAnsi="等线" w:eastAsia="等线" w:cs="等线"/>
                <w:b/>
                <w:bCs/>
                <w:color w:val="000000"/>
                <w:kern w:val="0"/>
                <w:sz w:val="15"/>
                <w:szCs w:val="15"/>
              </w:rPr>
            </w:pPr>
          </w:p>
        </w:tc>
        <w:tc>
          <w:tcPr>
            <w:tcW w:w="533" w:type="pct"/>
            <w:vMerge w:val="continue"/>
            <w:tcBorders>
              <w:top w:val="nil"/>
              <w:left w:val="single" w:color="auto" w:sz="4" w:space="0"/>
              <w:bottom w:val="single" w:color="auto" w:sz="4" w:space="0"/>
              <w:right w:val="single" w:color="auto" w:sz="4" w:space="0"/>
            </w:tcBorders>
            <w:vAlign w:val="center"/>
          </w:tcPr>
          <w:p w14:paraId="6EA8DEDC">
            <w:pPr>
              <w:widowControl/>
              <w:spacing w:line="240" w:lineRule="exact"/>
              <w:jc w:val="left"/>
              <w:rPr>
                <w:rFonts w:hint="eastAsia" w:ascii="等线" w:hAnsi="等线" w:eastAsia="等线" w:cs="等线"/>
                <w:b/>
                <w:bCs/>
                <w:color w:val="000000"/>
                <w:kern w:val="0"/>
                <w:sz w:val="15"/>
                <w:szCs w:val="15"/>
              </w:rPr>
            </w:pPr>
          </w:p>
        </w:tc>
        <w:tc>
          <w:tcPr>
            <w:tcW w:w="936" w:type="pct"/>
            <w:tcBorders>
              <w:top w:val="nil"/>
              <w:left w:val="nil"/>
              <w:bottom w:val="single" w:color="auto" w:sz="4" w:space="0"/>
              <w:right w:val="single" w:color="auto" w:sz="4" w:space="0"/>
            </w:tcBorders>
            <w:vAlign w:val="center"/>
          </w:tcPr>
          <w:p w14:paraId="45747E5B">
            <w:pPr>
              <w:widowControl/>
              <w:spacing w:line="240" w:lineRule="exact"/>
              <w:jc w:val="center"/>
              <w:rPr>
                <w:rFonts w:hint="eastAsia" w:ascii="等线" w:hAnsi="等线" w:eastAsia="等线" w:cs="等线"/>
                <w:b/>
                <w:bCs/>
                <w:color w:val="000000"/>
                <w:kern w:val="0"/>
                <w:sz w:val="15"/>
                <w:szCs w:val="15"/>
              </w:rPr>
            </w:pPr>
            <w:r>
              <w:rPr>
                <w:rFonts w:hint="eastAsia" w:ascii="等线" w:hAnsi="等线" w:eastAsia="等线" w:cs="等线"/>
                <w:b/>
                <w:bCs/>
                <w:color w:val="000000"/>
                <w:kern w:val="0"/>
                <w:sz w:val="15"/>
                <w:szCs w:val="15"/>
              </w:rPr>
              <w:t>承接的油车车辆类别</w:t>
            </w:r>
          </w:p>
          <w:p w14:paraId="62119720">
            <w:pPr>
              <w:widowControl/>
              <w:spacing w:line="240" w:lineRule="exact"/>
              <w:jc w:val="center"/>
              <w:rPr>
                <w:rFonts w:hint="eastAsia" w:ascii="等线" w:hAnsi="等线" w:eastAsia="等线" w:cs="等线"/>
                <w:b/>
                <w:bCs/>
                <w:color w:val="000000"/>
                <w:kern w:val="0"/>
                <w:sz w:val="15"/>
                <w:szCs w:val="15"/>
              </w:rPr>
            </w:pPr>
            <w:r>
              <w:rPr>
                <w:rFonts w:hint="eastAsia" w:ascii="等线" w:hAnsi="等线" w:eastAsia="等线" w:cs="等线"/>
                <w:b/>
                <w:bCs/>
                <w:color w:val="000000"/>
                <w:kern w:val="0"/>
                <w:sz w:val="15"/>
                <w:szCs w:val="15"/>
              </w:rPr>
              <w:t>（15分）</w:t>
            </w:r>
          </w:p>
        </w:tc>
        <w:tc>
          <w:tcPr>
            <w:tcW w:w="306" w:type="pct"/>
            <w:tcBorders>
              <w:top w:val="nil"/>
              <w:left w:val="nil"/>
              <w:bottom w:val="single" w:color="auto" w:sz="4" w:space="0"/>
              <w:right w:val="single" w:color="auto" w:sz="4" w:space="0"/>
            </w:tcBorders>
            <w:vAlign w:val="center"/>
          </w:tcPr>
          <w:p w14:paraId="717C4844">
            <w:pPr>
              <w:widowControl/>
              <w:spacing w:line="240" w:lineRule="exact"/>
              <w:jc w:val="center"/>
              <w:rPr>
                <w:rFonts w:hint="eastAsia" w:ascii="等线" w:hAnsi="等线" w:eastAsia="等线" w:cs="等线"/>
                <w:b/>
                <w:bCs/>
                <w:color w:val="000000"/>
                <w:kern w:val="0"/>
                <w:sz w:val="15"/>
                <w:szCs w:val="15"/>
              </w:rPr>
            </w:pPr>
          </w:p>
        </w:tc>
        <w:tc>
          <w:tcPr>
            <w:tcW w:w="2393" w:type="pct"/>
            <w:tcBorders>
              <w:top w:val="nil"/>
              <w:left w:val="nil"/>
              <w:bottom w:val="single" w:color="auto" w:sz="4" w:space="0"/>
              <w:right w:val="single" w:color="auto" w:sz="4" w:space="0"/>
            </w:tcBorders>
            <w:vAlign w:val="center"/>
          </w:tcPr>
          <w:p w14:paraId="5D297240">
            <w:pPr>
              <w:widowControl/>
              <w:spacing w:line="240" w:lineRule="exact"/>
              <w:jc w:val="left"/>
              <w:rPr>
                <w:rFonts w:hint="eastAsia" w:ascii="等线" w:hAnsi="等线" w:eastAsia="等线" w:cs="等线"/>
                <w:b/>
                <w:bCs/>
                <w:color w:val="000000"/>
                <w:kern w:val="0"/>
                <w:sz w:val="15"/>
                <w:szCs w:val="15"/>
              </w:rPr>
            </w:pPr>
            <w:r>
              <w:rPr>
                <w:rFonts w:hint="eastAsia" w:ascii="等线" w:hAnsi="等线" w:eastAsia="等线" w:cs="等线"/>
                <w:b/>
                <w:bCs/>
                <w:kern w:val="0"/>
                <w:sz w:val="15"/>
                <w:szCs w:val="15"/>
              </w:rPr>
              <w:t>提供承接不同类车车辆GCC认证合同扫描件及对应GCC证书首页。</w:t>
            </w:r>
            <w:bookmarkStart w:id="8" w:name="OLE_LINK1"/>
            <w:r>
              <w:rPr>
                <w:rFonts w:hint="eastAsia" w:ascii="等线" w:hAnsi="等线" w:eastAsia="等线" w:cs="等线"/>
                <w:b/>
                <w:bCs/>
                <w:color w:val="000000"/>
                <w:kern w:val="0"/>
                <w:sz w:val="15"/>
                <w:szCs w:val="15"/>
              </w:rPr>
              <w:t>（</w:t>
            </w:r>
            <w:r>
              <w:rPr>
                <w:rFonts w:hint="eastAsia" w:ascii="等线" w:hAnsi="等线" w:eastAsia="等线" w:cs="等线"/>
                <w:b/>
                <w:bCs/>
                <w:color w:val="FF0000"/>
                <w:sz w:val="15"/>
                <w:szCs w:val="15"/>
              </w:rPr>
              <w:t>★</w:t>
            </w:r>
            <w:r>
              <w:rPr>
                <w:rFonts w:hint="eastAsia" w:ascii="等线" w:hAnsi="等线" w:eastAsia="等线" w:cs="等线"/>
                <w:b/>
                <w:bCs/>
                <w:color w:val="000000"/>
                <w:kern w:val="0"/>
                <w:sz w:val="15"/>
                <w:szCs w:val="15"/>
              </w:rPr>
              <w:t>包含M3类，</w:t>
            </w:r>
            <w:r>
              <w:rPr>
                <w:rFonts w:hint="eastAsia" w:ascii="等线" w:hAnsi="等线" w:eastAsia="等线" w:cs="等线"/>
                <w:b/>
                <w:bCs/>
                <w:color w:val="FF0000"/>
                <w:kern w:val="0"/>
                <w:sz w:val="15"/>
                <w:szCs w:val="15"/>
              </w:rPr>
              <w:t>若不包含M3类则该项不得分</w:t>
            </w:r>
            <w:r>
              <w:rPr>
                <w:rFonts w:hint="eastAsia" w:ascii="等线" w:hAnsi="等线" w:eastAsia="等线" w:cs="等线"/>
                <w:b/>
                <w:bCs/>
                <w:color w:val="000000"/>
                <w:kern w:val="0"/>
                <w:sz w:val="15"/>
                <w:szCs w:val="15"/>
              </w:rPr>
              <w:t>）</w:t>
            </w:r>
            <w:bookmarkEnd w:id="8"/>
          </w:p>
        </w:tc>
        <w:tc>
          <w:tcPr>
            <w:tcW w:w="626" w:type="pct"/>
            <w:vMerge w:val="continue"/>
            <w:tcBorders>
              <w:top w:val="nil"/>
              <w:left w:val="single" w:color="auto" w:sz="4" w:space="0"/>
              <w:bottom w:val="single" w:color="auto" w:sz="4" w:space="0"/>
              <w:right w:val="single" w:color="auto" w:sz="4" w:space="0"/>
            </w:tcBorders>
            <w:vAlign w:val="center"/>
          </w:tcPr>
          <w:p w14:paraId="019FD439">
            <w:pPr>
              <w:widowControl/>
              <w:spacing w:line="240" w:lineRule="exact"/>
              <w:jc w:val="left"/>
              <w:rPr>
                <w:rFonts w:hint="eastAsia" w:ascii="等线" w:hAnsi="等线" w:eastAsia="等线" w:cs="宋体"/>
                <w:color w:val="000000"/>
                <w:kern w:val="0"/>
                <w:sz w:val="15"/>
                <w:szCs w:val="15"/>
              </w:rPr>
            </w:pPr>
          </w:p>
        </w:tc>
      </w:tr>
      <w:tr w14:paraId="60E9E844">
        <w:tblPrEx>
          <w:tblCellMar>
            <w:top w:w="0" w:type="dxa"/>
            <w:left w:w="108" w:type="dxa"/>
            <w:bottom w:w="0" w:type="dxa"/>
            <w:right w:w="108" w:type="dxa"/>
          </w:tblCellMar>
        </w:tblPrEx>
        <w:trPr>
          <w:trHeight w:val="693" w:hRule="atLeast"/>
          <w:jc w:val="center"/>
        </w:trPr>
        <w:tc>
          <w:tcPr>
            <w:tcW w:w="203" w:type="pct"/>
            <w:vMerge w:val="continue"/>
            <w:tcBorders>
              <w:top w:val="nil"/>
              <w:left w:val="single" w:color="auto" w:sz="4" w:space="0"/>
              <w:bottom w:val="single" w:color="auto" w:sz="4" w:space="0"/>
              <w:right w:val="single" w:color="auto" w:sz="4" w:space="0"/>
            </w:tcBorders>
            <w:vAlign w:val="center"/>
          </w:tcPr>
          <w:p w14:paraId="4274CAB4">
            <w:pPr>
              <w:widowControl/>
              <w:spacing w:line="240" w:lineRule="exact"/>
              <w:jc w:val="left"/>
              <w:rPr>
                <w:rFonts w:hint="eastAsia" w:ascii="等线" w:hAnsi="等线" w:eastAsia="等线" w:cs="等线"/>
                <w:b/>
                <w:bCs/>
                <w:color w:val="000000"/>
                <w:kern w:val="0"/>
                <w:sz w:val="15"/>
                <w:szCs w:val="15"/>
              </w:rPr>
            </w:pPr>
          </w:p>
        </w:tc>
        <w:tc>
          <w:tcPr>
            <w:tcW w:w="533" w:type="pct"/>
            <w:vMerge w:val="continue"/>
            <w:tcBorders>
              <w:top w:val="nil"/>
              <w:left w:val="single" w:color="auto" w:sz="4" w:space="0"/>
              <w:bottom w:val="single" w:color="auto" w:sz="4" w:space="0"/>
              <w:right w:val="single" w:color="auto" w:sz="4" w:space="0"/>
            </w:tcBorders>
            <w:vAlign w:val="center"/>
          </w:tcPr>
          <w:p w14:paraId="221F8BEB">
            <w:pPr>
              <w:widowControl/>
              <w:spacing w:line="240" w:lineRule="exact"/>
              <w:jc w:val="left"/>
              <w:rPr>
                <w:rFonts w:hint="eastAsia" w:ascii="等线" w:hAnsi="等线" w:eastAsia="等线" w:cs="等线"/>
                <w:b/>
                <w:bCs/>
                <w:color w:val="000000"/>
                <w:kern w:val="0"/>
                <w:sz w:val="15"/>
                <w:szCs w:val="15"/>
              </w:rPr>
            </w:pPr>
          </w:p>
        </w:tc>
        <w:tc>
          <w:tcPr>
            <w:tcW w:w="936" w:type="pct"/>
            <w:tcBorders>
              <w:top w:val="nil"/>
              <w:left w:val="nil"/>
              <w:bottom w:val="single" w:color="auto" w:sz="4" w:space="0"/>
              <w:right w:val="single" w:color="auto" w:sz="4" w:space="0"/>
            </w:tcBorders>
            <w:vAlign w:val="center"/>
          </w:tcPr>
          <w:p w14:paraId="223EBF4C">
            <w:pPr>
              <w:widowControl/>
              <w:spacing w:line="240" w:lineRule="exact"/>
              <w:jc w:val="center"/>
              <w:rPr>
                <w:rFonts w:hint="eastAsia" w:ascii="等线" w:hAnsi="等线" w:eastAsia="等线" w:cs="等线"/>
                <w:b/>
                <w:bCs/>
                <w:color w:val="000000"/>
                <w:kern w:val="0"/>
                <w:sz w:val="15"/>
                <w:szCs w:val="15"/>
              </w:rPr>
            </w:pPr>
            <w:r>
              <w:rPr>
                <w:rFonts w:hint="eastAsia" w:ascii="等线" w:hAnsi="等线" w:eastAsia="等线" w:cs="等线"/>
                <w:b/>
                <w:bCs/>
                <w:color w:val="000000"/>
                <w:kern w:val="0"/>
                <w:sz w:val="15"/>
                <w:szCs w:val="15"/>
              </w:rPr>
              <w:t>承接的电车车辆类别</w:t>
            </w:r>
          </w:p>
          <w:p w14:paraId="37BFD3C0">
            <w:pPr>
              <w:widowControl/>
              <w:spacing w:line="240" w:lineRule="exact"/>
              <w:jc w:val="center"/>
              <w:rPr>
                <w:rFonts w:hint="eastAsia" w:ascii="等线" w:hAnsi="等线" w:eastAsia="等线" w:cs="等线"/>
                <w:b/>
                <w:bCs/>
                <w:color w:val="000000"/>
                <w:kern w:val="0"/>
                <w:sz w:val="15"/>
                <w:szCs w:val="15"/>
              </w:rPr>
            </w:pPr>
            <w:r>
              <w:rPr>
                <w:rFonts w:hint="eastAsia" w:ascii="等线" w:hAnsi="等线" w:eastAsia="等线" w:cs="等线"/>
                <w:b/>
                <w:bCs/>
                <w:color w:val="000000"/>
                <w:kern w:val="0"/>
                <w:sz w:val="15"/>
                <w:szCs w:val="15"/>
              </w:rPr>
              <w:t>（15分）</w:t>
            </w:r>
          </w:p>
        </w:tc>
        <w:tc>
          <w:tcPr>
            <w:tcW w:w="306" w:type="pct"/>
            <w:tcBorders>
              <w:top w:val="nil"/>
              <w:left w:val="nil"/>
              <w:bottom w:val="single" w:color="auto" w:sz="4" w:space="0"/>
              <w:right w:val="single" w:color="auto" w:sz="4" w:space="0"/>
            </w:tcBorders>
            <w:vAlign w:val="center"/>
          </w:tcPr>
          <w:p w14:paraId="6FE8FE7E">
            <w:pPr>
              <w:widowControl/>
              <w:spacing w:line="240" w:lineRule="exact"/>
              <w:jc w:val="center"/>
              <w:rPr>
                <w:rFonts w:hint="eastAsia" w:ascii="等线" w:hAnsi="等线" w:eastAsia="等线" w:cs="等线"/>
                <w:b/>
                <w:bCs/>
                <w:color w:val="000000"/>
                <w:kern w:val="0"/>
                <w:sz w:val="15"/>
                <w:szCs w:val="15"/>
              </w:rPr>
            </w:pPr>
          </w:p>
        </w:tc>
        <w:tc>
          <w:tcPr>
            <w:tcW w:w="2393" w:type="pct"/>
            <w:tcBorders>
              <w:top w:val="nil"/>
              <w:left w:val="nil"/>
              <w:bottom w:val="single" w:color="auto" w:sz="4" w:space="0"/>
              <w:right w:val="single" w:color="auto" w:sz="4" w:space="0"/>
            </w:tcBorders>
            <w:vAlign w:val="center"/>
          </w:tcPr>
          <w:p w14:paraId="6D9A46D7">
            <w:pPr>
              <w:widowControl/>
              <w:spacing w:line="240" w:lineRule="exact"/>
              <w:jc w:val="left"/>
              <w:rPr>
                <w:rFonts w:hint="eastAsia" w:ascii="等线" w:hAnsi="等线" w:eastAsia="等线" w:cs="等线"/>
                <w:b/>
                <w:bCs/>
                <w:color w:val="000000"/>
                <w:kern w:val="0"/>
                <w:sz w:val="15"/>
                <w:szCs w:val="15"/>
              </w:rPr>
            </w:pPr>
            <w:r>
              <w:rPr>
                <w:rFonts w:hint="eastAsia" w:ascii="等线" w:hAnsi="等线" w:eastAsia="等线" w:cs="等线"/>
                <w:b/>
                <w:bCs/>
                <w:kern w:val="0"/>
                <w:sz w:val="15"/>
                <w:szCs w:val="15"/>
              </w:rPr>
              <w:t>提供承接不同类车车辆电车认证合同扫描件及对应证书首页。</w:t>
            </w:r>
            <w:r>
              <w:rPr>
                <w:rFonts w:hint="eastAsia" w:ascii="等线" w:hAnsi="等线" w:eastAsia="等线" w:cs="等线"/>
                <w:b/>
                <w:bCs/>
                <w:color w:val="000000"/>
                <w:kern w:val="0"/>
                <w:sz w:val="15"/>
                <w:szCs w:val="15"/>
              </w:rPr>
              <w:t>（</w:t>
            </w:r>
            <w:r>
              <w:rPr>
                <w:rFonts w:hint="eastAsia" w:ascii="等线" w:hAnsi="等线" w:eastAsia="等线" w:cs="等线"/>
                <w:b/>
                <w:bCs/>
                <w:color w:val="FF0000"/>
                <w:sz w:val="15"/>
                <w:szCs w:val="15"/>
              </w:rPr>
              <w:t>★</w:t>
            </w:r>
            <w:r>
              <w:rPr>
                <w:rFonts w:hint="eastAsia" w:ascii="等线" w:hAnsi="等线" w:eastAsia="等线" w:cs="等线"/>
                <w:b/>
                <w:bCs/>
                <w:color w:val="auto"/>
                <w:sz w:val="15"/>
                <w:szCs w:val="15"/>
              </w:rPr>
              <w:t>包含M3类</w:t>
            </w:r>
            <w:r>
              <w:rPr>
                <w:rFonts w:hint="eastAsia" w:ascii="等线" w:hAnsi="等线" w:eastAsia="等线" w:cs="等线"/>
                <w:b/>
                <w:bCs/>
                <w:color w:val="FF0000"/>
                <w:sz w:val="15"/>
                <w:szCs w:val="15"/>
              </w:rPr>
              <w:t>，若不包含M3类则该项不得分</w:t>
            </w:r>
            <w:r>
              <w:rPr>
                <w:rFonts w:hint="eastAsia" w:ascii="等线" w:hAnsi="等线" w:eastAsia="等线" w:cs="等线"/>
                <w:b/>
                <w:bCs/>
                <w:color w:val="000000"/>
                <w:kern w:val="0"/>
                <w:sz w:val="15"/>
                <w:szCs w:val="15"/>
              </w:rPr>
              <w:t>）</w:t>
            </w:r>
          </w:p>
        </w:tc>
        <w:tc>
          <w:tcPr>
            <w:tcW w:w="626" w:type="pct"/>
            <w:vMerge w:val="continue"/>
            <w:tcBorders>
              <w:top w:val="nil"/>
              <w:left w:val="single" w:color="auto" w:sz="4" w:space="0"/>
              <w:bottom w:val="single" w:color="auto" w:sz="4" w:space="0"/>
              <w:right w:val="single" w:color="auto" w:sz="4" w:space="0"/>
            </w:tcBorders>
            <w:vAlign w:val="center"/>
          </w:tcPr>
          <w:p w14:paraId="3F1E0B09">
            <w:pPr>
              <w:widowControl/>
              <w:spacing w:line="240" w:lineRule="exact"/>
              <w:jc w:val="left"/>
              <w:rPr>
                <w:rFonts w:hint="eastAsia" w:ascii="等线" w:hAnsi="等线" w:eastAsia="等线" w:cs="宋体"/>
                <w:color w:val="000000"/>
                <w:kern w:val="0"/>
                <w:sz w:val="15"/>
                <w:szCs w:val="15"/>
              </w:rPr>
            </w:pPr>
          </w:p>
        </w:tc>
      </w:tr>
      <w:tr w14:paraId="5170CB0D">
        <w:tblPrEx>
          <w:tblCellMar>
            <w:top w:w="0" w:type="dxa"/>
            <w:left w:w="108" w:type="dxa"/>
            <w:bottom w:w="0" w:type="dxa"/>
            <w:right w:w="108" w:type="dxa"/>
          </w:tblCellMar>
        </w:tblPrEx>
        <w:trPr>
          <w:trHeight w:val="728" w:hRule="atLeast"/>
          <w:jc w:val="center"/>
        </w:trPr>
        <w:tc>
          <w:tcPr>
            <w:tcW w:w="203" w:type="pct"/>
            <w:vMerge w:val="continue"/>
            <w:tcBorders>
              <w:top w:val="nil"/>
              <w:left w:val="single" w:color="auto" w:sz="4" w:space="0"/>
              <w:bottom w:val="single" w:color="auto" w:sz="4" w:space="0"/>
              <w:right w:val="single" w:color="auto" w:sz="4" w:space="0"/>
            </w:tcBorders>
            <w:vAlign w:val="center"/>
          </w:tcPr>
          <w:p w14:paraId="5FB75568">
            <w:pPr>
              <w:widowControl/>
              <w:spacing w:line="240" w:lineRule="exact"/>
              <w:jc w:val="left"/>
              <w:rPr>
                <w:rFonts w:hint="eastAsia" w:ascii="等线" w:hAnsi="等线" w:eastAsia="等线" w:cs="等线"/>
                <w:b/>
                <w:bCs/>
                <w:color w:val="000000"/>
                <w:kern w:val="0"/>
                <w:sz w:val="15"/>
                <w:szCs w:val="15"/>
              </w:rPr>
            </w:pPr>
          </w:p>
        </w:tc>
        <w:tc>
          <w:tcPr>
            <w:tcW w:w="533" w:type="pct"/>
            <w:vMerge w:val="continue"/>
            <w:tcBorders>
              <w:top w:val="nil"/>
              <w:left w:val="single" w:color="auto" w:sz="4" w:space="0"/>
              <w:bottom w:val="single" w:color="auto" w:sz="4" w:space="0"/>
              <w:right w:val="single" w:color="auto" w:sz="4" w:space="0"/>
            </w:tcBorders>
            <w:vAlign w:val="center"/>
          </w:tcPr>
          <w:p w14:paraId="5AA5F680">
            <w:pPr>
              <w:widowControl/>
              <w:spacing w:line="240" w:lineRule="exact"/>
              <w:jc w:val="left"/>
              <w:rPr>
                <w:rFonts w:hint="eastAsia" w:ascii="等线" w:hAnsi="等线" w:eastAsia="等线" w:cs="等线"/>
                <w:b/>
                <w:bCs/>
                <w:color w:val="000000"/>
                <w:kern w:val="0"/>
                <w:sz w:val="15"/>
                <w:szCs w:val="15"/>
              </w:rPr>
            </w:pPr>
          </w:p>
        </w:tc>
        <w:tc>
          <w:tcPr>
            <w:tcW w:w="936" w:type="pct"/>
            <w:tcBorders>
              <w:top w:val="nil"/>
              <w:left w:val="nil"/>
              <w:bottom w:val="single" w:color="auto" w:sz="4" w:space="0"/>
              <w:right w:val="single" w:color="auto" w:sz="4" w:space="0"/>
            </w:tcBorders>
            <w:vAlign w:val="center"/>
          </w:tcPr>
          <w:p w14:paraId="51D04CBF">
            <w:pPr>
              <w:widowControl/>
              <w:spacing w:line="240" w:lineRule="exact"/>
              <w:jc w:val="center"/>
              <w:rPr>
                <w:rFonts w:hint="eastAsia" w:ascii="等线" w:hAnsi="等线" w:eastAsia="等线" w:cs="等线"/>
                <w:b/>
                <w:bCs/>
                <w:color w:val="000000"/>
                <w:kern w:val="0"/>
                <w:sz w:val="15"/>
                <w:szCs w:val="15"/>
              </w:rPr>
            </w:pPr>
            <w:r>
              <w:rPr>
                <w:rFonts w:hint="eastAsia" w:ascii="等线" w:hAnsi="等线" w:eastAsia="等线" w:cs="等线"/>
                <w:b/>
                <w:bCs/>
                <w:color w:val="000000"/>
                <w:kern w:val="0"/>
                <w:sz w:val="15"/>
                <w:szCs w:val="15"/>
              </w:rPr>
              <w:t>重要汽车行业客户</w:t>
            </w:r>
          </w:p>
          <w:p w14:paraId="4AD0994F">
            <w:pPr>
              <w:widowControl/>
              <w:spacing w:line="240" w:lineRule="exact"/>
              <w:jc w:val="center"/>
              <w:rPr>
                <w:rFonts w:hint="eastAsia" w:ascii="等线" w:hAnsi="等线" w:eastAsia="等线" w:cs="等线"/>
                <w:b/>
                <w:bCs/>
                <w:color w:val="000000"/>
                <w:kern w:val="0"/>
                <w:sz w:val="15"/>
                <w:szCs w:val="15"/>
              </w:rPr>
            </w:pPr>
            <w:r>
              <w:rPr>
                <w:rFonts w:hint="eastAsia" w:ascii="等线" w:hAnsi="等线" w:eastAsia="等线" w:cs="等线"/>
                <w:b/>
                <w:bCs/>
                <w:color w:val="000000"/>
                <w:kern w:val="0"/>
                <w:sz w:val="15"/>
                <w:szCs w:val="15"/>
              </w:rPr>
              <w:t>（15分）</w:t>
            </w:r>
          </w:p>
        </w:tc>
        <w:tc>
          <w:tcPr>
            <w:tcW w:w="306" w:type="pct"/>
            <w:tcBorders>
              <w:top w:val="nil"/>
              <w:left w:val="nil"/>
              <w:bottom w:val="single" w:color="auto" w:sz="4" w:space="0"/>
              <w:right w:val="single" w:color="auto" w:sz="4" w:space="0"/>
            </w:tcBorders>
            <w:vAlign w:val="center"/>
          </w:tcPr>
          <w:p w14:paraId="1568C6CA">
            <w:pPr>
              <w:widowControl/>
              <w:spacing w:line="240" w:lineRule="exact"/>
              <w:jc w:val="center"/>
              <w:rPr>
                <w:rFonts w:hint="eastAsia" w:ascii="等线" w:hAnsi="等线" w:eastAsia="等线" w:cs="等线"/>
                <w:b/>
                <w:bCs/>
                <w:color w:val="000000"/>
                <w:kern w:val="0"/>
                <w:sz w:val="15"/>
                <w:szCs w:val="15"/>
              </w:rPr>
            </w:pPr>
          </w:p>
        </w:tc>
        <w:tc>
          <w:tcPr>
            <w:tcW w:w="2393" w:type="pct"/>
            <w:tcBorders>
              <w:top w:val="nil"/>
              <w:left w:val="nil"/>
              <w:bottom w:val="single" w:color="auto" w:sz="4" w:space="0"/>
              <w:right w:val="single" w:color="auto" w:sz="4" w:space="0"/>
            </w:tcBorders>
            <w:vAlign w:val="center"/>
          </w:tcPr>
          <w:p w14:paraId="36AE6D0F">
            <w:pPr>
              <w:widowControl/>
              <w:spacing w:line="240" w:lineRule="exact"/>
              <w:jc w:val="left"/>
              <w:rPr>
                <w:rFonts w:hint="eastAsia" w:ascii="等线" w:hAnsi="等线" w:eastAsia="等线" w:cs="等线"/>
                <w:b/>
                <w:bCs/>
                <w:color w:val="000000"/>
                <w:kern w:val="0"/>
                <w:sz w:val="15"/>
                <w:szCs w:val="15"/>
              </w:rPr>
            </w:pPr>
            <w:r>
              <w:rPr>
                <w:rFonts w:hint="eastAsia" w:ascii="等线" w:hAnsi="等线" w:eastAsia="等线" w:cs="等线"/>
                <w:b/>
                <w:bCs/>
                <w:kern w:val="0"/>
                <w:sz w:val="15"/>
                <w:szCs w:val="15"/>
              </w:rPr>
              <w:t>①提供与国内重要客户的GCC/SASO认证合同，只含检验项目的合同除外，签署日期必须为2022年及以后，脱敏后仍需保留符合判定条件的关键信息。</w:t>
            </w:r>
            <w:r>
              <w:rPr>
                <w:rFonts w:hint="eastAsia" w:ascii="等线" w:hAnsi="等线" w:eastAsia="等线" w:cs="等线"/>
                <w:b/>
                <w:bCs/>
                <w:kern w:val="0"/>
                <w:sz w:val="15"/>
                <w:szCs w:val="15"/>
              </w:rPr>
              <w:br w:type="textWrapping"/>
            </w:r>
            <w:r>
              <w:rPr>
                <w:rFonts w:hint="eastAsia" w:ascii="等线" w:hAnsi="等线" w:eastAsia="等线" w:cs="等线"/>
                <w:b/>
                <w:bCs/>
                <w:kern w:val="0"/>
                <w:sz w:val="15"/>
                <w:szCs w:val="15"/>
              </w:rPr>
              <w:t>②知名商用车企业：</w:t>
            </w:r>
            <w:r>
              <w:rPr>
                <w:rFonts w:hint="eastAsia" w:ascii="等线" w:hAnsi="等线" w:eastAsia="等线" w:cs="等线"/>
                <w:b/>
                <w:bCs/>
                <w:kern w:val="0"/>
                <w:sz w:val="15"/>
                <w:szCs w:val="15"/>
              </w:rPr>
              <w:br w:type="textWrapping"/>
            </w:r>
            <w:r>
              <w:rPr>
                <w:rFonts w:hint="eastAsia" w:ascii="等线" w:hAnsi="等线" w:eastAsia="等线" w:cs="等线"/>
                <w:b/>
                <w:bCs/>
                <w:kern w:val="0"/>
                <w:sz w:val="15"/>
                <w:szCs w:val="15"/>
              </w:rPr>
              <w:t>宇通、金龙联合、厦门金旅、苏州金龙、宇通、中通、比亚迪、福田、东风、江淮、中国重汽、一汽</w:t>
            </w:r>
            <w:r>
              <w:rPr>
                <w:rFonts w:hint="eastAsia" w:ascii="等线" w:hAnsi="等线" w:eastAsia="等线" w:cs="等线"/>
                <w:b/>
                <w:bCs/>
                <w:kern w:val="0"/>
                <w:sz w:val="15"/>
                <w:szCs w:val="15"/>
              </w:rPr>
              <w:br w:type="textWrapping"/>
            </w:r>
            <w:r>
              <w:rPr>
                <w:rFonts w:hint="eastAsia" w:ascii="等线" w:hAnsi="等线" w:eastAsia="等线" w:cs="等线"/>
                <w:b/>
                <w:bCs/>
                <w:kern w:val="0"/>
                <w:sz w:val="15"/>
                <w:szCs w:val="15"/>
              </w:rPr>
              <w:t>知名乘用车企业：</w:t>
            </w:r>
            <w:r>
              <w:rPr>
                <w:rFonts w:hint="eastAsia" w:ascii="等线" w:hAnsi="等线" w:eastAsia="等线" w:cs="等线"/>
                <w:b/>
                <w:bCs/>
                <w:kern w:val="0"/>
                <w:sz w:val="15"/>
                <w:szCs w:val="15"/>
              </w:rPr>
              <w:br w:type="textWrapping"/>
            </w:r>
            <w:r>
              <w:rPr>
                <w:rFonts w:hint="eastAsia" w:ascii="等线" w:hAnsi="等线" w:eastAsia="等线" w:cs="等线"/>
                <w:b/>
                <w:bCs/>
                <w:kern w:val="0"/>
                <w:sz w:val="15"/>
                <w:szCs w:val="15"/>
              </w:rPr>
              <w:t>比亚迪、哈弗、吉利、长安、蔚来、理想、长城、一汽、小鹏、广汽、东风、上汽</w:t>
            </w:r>
          </w:p>
        </w:tc>
        <w:tc>
          <w:tcPr>
            <w:tcW w:w="626" w:type="pct"/>
            <w:vMerge w:val="continue"/>
            <w:tcBorders>
              <w:top w:val="nil"/>
              <w:left w:val="single" w:color="auto" w:sz="4" w:space="0"/>
              <w:bottom w:val="single" w:color="auto" w:sz="4" w:space="0"/>
              <w:right w:val="single" w:color="auto" w:sz="4" w:space="0"/>
            </w:tcBorders>
            <w:vAlign w:val="center"/>
          </w:tcPr>
          <w:p w14:paraId="45B1E6FA">
            <w:pPr>
              <w:widowControl/>
              <w:spacing w:line="240" w:lineRule="exact"/>
              <w:jc w:val="left"/>
              <w:rPr>
                <w:rFonts w:hint="eastAsia" w:ascii="等线" w:hAnsi="等线" w:eastAsia="等线" w:cs="宋体"/>
                <w:color w:val="000000"/>
                <w:kern w:val="0"/>
                <w:sz w:val="15"/>
                <w:szCs w:val="15"/>
              </w:rPr>
            </w:pPr>
          </w:p>
        </w:tc>
      </w:tr>
      <w:tr w14:paraId="1B934368">
        <w:tblPrEx>
          <w:tblCellMar>
            <w:top w:w="0" w:type="dxa"/>
            <w:left w:w="108" w:type="dxa"/>
            <w:bottom w:w="0" w:type="dxa"/>
            <w:right w:w="108" w:type="dxa"/>
          </w:tblCellMar>
        </w:tblPrEx>
        <w:trPr>
          <w:trHeight w:val="728" w:hRule="atLeast"/>
          <w:jc w:val="center"/>
        </w:trPr>
        <w:tc>
          <w:tcPr>
            <w:tcW w:w="203" w:type="pct"/>
            <w:vMerge w:val="continue"/>
            <w:tcBorders>
              <w:top w:val="nil"/>
              <w:left w:val="single" w:color="auto" w:sz="4" w:space="0"/>
              <w:bottom w:val="single" w:color="auto" w:sz="4" w:space="0"/>
              <w:right w:val="single" w:color="auto" w:sz="4" w:space="0"/>
            </w:tcBorders>
            <w:vAlign w:val="center"/>
          </w:tcPr>
          <w:p w14:paraId="6C8E81EA">
            <w:pPr>
              <w:widowControl/>
              <w:spacing w:line="240" w:lineRule="exact"/>
              <w:jc w:val="left"/>
              <w:rPr>
                <w:rFonts w:hint="eastAsia" w:ascii="等线" w:hAnsi="等线" w:eastAsia="等线" w:cs="等线"/>
                <w:b/>
                <w:bCs/>
                <w:color w:val="000000"/>
                <w:kern w:val="0"/>
                <w:sz w:val="15"/>
                <w:szCs w:val="15"/>
              </w:rPr>
            </w:pPr>
          </w:p>
        </w:tc>
        <w:tc>
          <w:tcPr>
            <w:tcW w:w="533" w:type="pct"/>
            <w:vMerge w:val="continue"/>
            <w:tcBorders>
              <w:top w:val="nil"/>
              <w:left w:val="single" w:color="auto" w:sz="4" w:space="0"/>
              <w:bottom w:val="single" w:color="auto" w:sz="4" w:space="0"/>
              <w:right w:val="single" w:color="auto" w:sz="4" w:space="0"/>
            </w:tcBorders>
            <w:vAlign w:val="center"/>
          </w:tcPr>
          <w:p w14:paraId="02370E51">
            <w:pPr>
              <w:widowControl/>
              <w:spacing w:line="240" w:lineRule="exact"/>
              <w:jc w:val="left"/>
              <w:rPr>
                <w:rFonts w:hint="eastAsia" w:ascii="等线" w:hAnsi="等线" w:eastAsia="等线" w:cs="等线"/>
                <w:b/>
                <w:bCs/>
                <w:color w:val="000000"/>
                <w:kern w:val="0"/>
                <w:sz w:val="15"/>
                <w:szCs w:val="15"/>
              </w:rPr>
            </w:pPr>
          </w:p>
        </w:tc>
        <w:tc>
          <w:tcPr>
            <w:tcW w:w="936" w:type="pct"/>
            <w:tcBorders>
              <w:top w:val="nil"/>
              <w:left w:val="nil"/>
              <w:bottom w:val="single" w:color="auto" w:sz="4" w:space="0"/>
              <w:right w:val="single" w:color="auto" w:sz="4" w:space="0"/>
            </w:tcBorders>
            <w:vAlign w:val="center"/>
          </w:tcPr>
          <w:p w14:paraId="6D5D7C0F">
            <w:pPr>
              <w:widowControl/>
              <w:spacing w:line="240" w:lineRule="exact"/>
              <w:jc w:val="center"/>
              <w:rPr>
                <w:rFonts w:hint="eastAsia" w:ascii="等线" w:hAnsi="等线" w:eastAsia="等线" w:cs="等线"/>
                <w:b/>
                <w:bCs/>
                <w:color w:val="000000"/>
                <w:kern w:val="0"/>
                <w:sz w:val="15"/>
                <w:szCs w:val="15"/>
              </w:rPr>
            </w:pPr>
            <w:r>
              <w:rPr>
                <w:rFonts w:hint="eastAsia" w:ascii="等线" w:hAnsi="等线" w:eastAsia="等线" w:cs="等线"/>
                <w:b/>
                <w:bCs/>
                <w:color w:val="000000"/>
                <w:kern w:val="0"/>
                <w:sz w:val="15"/>
                <w:szCs w:val="15"/>
              </w:rPr>
              <w:t>认证工程师资历</w:t>
            </w:r>
          </w:p>
          <w:p w14:paraId="29E15E27">
            <w:pPr>
              <w:widowControl/>
              <w:spacing w:line="240" w:lineRule="exact"/>
              <w:jc w:val="center"/>
              <w:rPr>
                <w:rFonts w:hint="eastAsia" w:ascii="等线" w:hAnsi="等线" w:eastAsia="等线" w:cs="等线"/>
                <w:b/>
                <w:bCs/>
                <w:color w:val="000000"/>
                <w:kern w:val="0"/>
                <w:sz w:val="15"/>
                <w:szCs w:val="15"/>
              </w:rPr>
            </w:pPr>
            <w:r>
              <w:rPr>
                <w:rFonts w:hint="eastAsia" w:ascii="等线" w:hAnsi="等线" w:eastAsia="等线" w:cs="等线"/>
                <w:b/>
                <w:bCs/>
                <w:color w:val="000000"/>
                <w:kern w:val="0"/>
                <w:sz w:val="15"/>
                <w:szCs w:val="15"/>
              </w:rPr>
              <w:t>（20分）</w:t>
            </w:r>
          </w:p>
        </w:tc>
        <w:tc>
          <w:tcPr>
            <w:tcW w:w="306" w:type="pct"/>
            <w:tcBorders>
              <w:top w:val="nil"/>
              <w:left w:val="nil"/>
              <w:bottom w:val="single" w:color="auto" w:sz="4" w:space="0"/>
              <w:right w:val="single" w:color="auto" w:sz="4" w:space="0"/>
            </w:tcBorders>
            <w:vAlign w:val="center"/>
          </w:tcPr>
          <w:p w14:paraId="41098486">
            <w:pPr>
              <w:widowControl/>
              <w:spacing w:line="240" w:lineRule="exact"/>
              <w:jc w:val="center"/>
              <w:rPr>
                <w:rFonts w:hint="eastAsia" w:ascii="等线" w:hAnsi="等线" w:eastAsia="等线" w:cs="等线"/>
                <w:b/>
                <w:bCs/>
                <w:color w:val="000000"/>
                <w:kern w:val="0"/>
                <w:sz w:val="15"/>
                <w:szCs w:val="15"/>
              </w:rPr>
            </w:pPr>
          </w:p>
        </w:tc>
        <w:tc>
          <w:tcPr>
            <w:tcW w:w="2393" w:type="pct"/>
            <w:tcBorders>
              <w:top w:val="nil"/>
              <w:left w:val="nil"/>
              <w:bottom w:val="single" w:color="auto" w:sz="4" w:space="0"/>
              <w:right w:val="single" w:color="auto" w:sz="4" w:space="0"/>
            </w:tcBorders>
            <w:vAlign w:val="center"/>
          </w:tcPr>
          <w:p w14:paraId="4E5D1D22">
            <w:pPr>
              <w:widowControl/>
              <w:spacing w:line="240" w:lineRule="exact"/>
              <w:jc w:val="left"/>
              <w:rPr>
                <w:rFonts w:hint="eastAsia" w:ascii="等线" w:hAnsi="等线" w:eastAsia="等线" w:cs="等线"/>
                <w:b/>
                <w:bCs/>
                <w:color w:val="000000"/>
                <w:kern w:val="0"/>
                <w:sz w:val="15"/>
                <w:szCs w:val="15"/>
                <w:lang w:eastAsia="zh-CN"/>
              </w:rPr>
            </w:pPr>
            <w:r>
              <w:rPr>
                <w:rFonts w:hint="eastAsia" w:ascii="等线" w:hAnsi="等线" w:eastAsia="等线" w:cs="等线"/>
                <w:b/>
                <w:bCs/>
                <w:kern w:val="0"/>
                <w:sz w:val="15"/>
                <w:szCs w:val="15"/>
              </w:rPr>
              <w:t>提供所有从事海湾认证业务工程师的简历，简历中应展示从事相关认证业务的起止时间</w:t>
            </w:r>
            <w:r>
              <w:rPr>
                <w:rFonts w:hint="eastAsia" w:ascii="等线" w:hAnsi="等线" w:eastAsia="等线" w:cs="等线"/>
                <w:b/>
                <w:bCs/>
                <w:kern w:val="0"/>
                <w:sz w:val="15"/>
                <w:szCs w:val="15"/>
                <w:lang w:eastAsia="zh-CN"/>
              </w:rPr>
              <w:t>。</w:t>
            </w:r>
          </w:p>
        </w:tc>
        <w:tc>
          <w:tcPr>
            <w:tcW w:w="626" w:type="pct"/>
            <w:vMerge w:val="continue"/>
            <w:tcBorders>
              <w:top w:val="nil"/>
              <w:left w:val="single" w:color="auto" w:sz="4" w:space="0"/>
              <w:bottom w:val="single" w:color="auto" w:sz="4" w:space="0"/>
              <w:right w:val="single" w:color="auto" w:sz="4" w:space="0"/>
            </w:tcBorders>
            <w:vAlign w:val="center"/>
          </w:tcPr>
          <w:p w14:paraId="3B517A66">
            <w:pPr>
              <w:widowControl/>
              <w:spacing w:line="240" w:lineRule="exact"/>
              <w:jc w:val="left"/>
              <w:rPr>
                <w:rFonts w:hint="eastAsia" w:ascii="等线" w:hAnsi="等线" w:eastAsia="等线" w:cs="宋体"/>
                <w:color w:val="000000"/>
                <w:kern w:val="0"/>
                <w:sz w:val="15"/>
                <w:szCs w:val="15"/>
              </w:rPr>
            </w:pPr>
          </w:p>
        </w:tc>
      </w:tr>
      <w:tr w14:paraId="2DA37218">
        <w:tblPrEx>
          <w:tblCellMar>
            <w:top w:w="0" w:type="dxa"/>
            <w:left w:w="108" w:type="dxa"/>
            <w:bottom w:w="0" w:type="dxa"/>
            <w:right w:w="108" w:type="dxa"/>
          </w:tblCellMar>
        </w:tblPrEx>
        <w:trPr>
          <w:trHeight w:val="193" w:hRule="atLeast"/>
          <w:jc w:val="center"/>
        </w:trPr>
        <w:tc>
          <w:tcPr>
            <w:tcW w:w="203" w:type="pct"/>
            <w:vMerge w:val="restart"/>
            <w:tcBorders>
              <w:top w:val="nil"/>
              <w:left w:val="single" w:color="auto" w:sz="4" w:space="0"/>
              <w:bottom w:val="single" w:color="auto" w:sz="4" w:space="0"/>
              <w:right w:val="single" w:color="auto" w:sz="4" w:space="0"/>
            </w:tcBorders>
            <w:vAlign w:val="center"/>
          </w:tcPr>
          <w:p w14:paraId="46E3EFEE">
            <w:pPr>
              <w:widowControl/>
              <w:spacing w:line="240" w:lineRule="exact"/>
              <w:jc w:val="center"/>
              <w:rPr>
                <w:rFonts w:hint="eastAsia" w:ascii="等线" w:hAnsi="等线" w:eastAsia="等线" w:cs="等线"/>
                <w:b/>
                <w:bCs/>
                <w:color w:val="000000"/>
                <w:kern w:val="0"/>
                <w:sz w:val="15"/>
                <w:szCs w:val="15"/>
              </w:rPr>
            </w:pPr>
            <w:r>
              <w:rPr>
                <w:rFonts w:hint="eastAsia" w:ascii="等线" w:hAnsi="等线" w:eastAsia="等线" w:cs="等线"/>
                <w:b/>
                <w:bCs/>
                <w:color w:val="000000"/>
                <w:kern w:val="0"/>
                <w:sz w:val="15"/>
                <w:szCs w:val="15"/>
              </w:rPr>
              <w:t>2</w:t>
            </w:r>
          </w:p>
        </w:tc>
        <w:tc>
          <w:tcPr>
            <w:tcW w:w="533" w:type="pct"/>
            <w:vMerge w:val="restart"/>
            <w:tcBorders>
              <w:top w:val="nil"/>
              <w:left w:val="single" w:color="auto" w:sz="4" w:space="0"/>
              <w:bottom w:val="single" w:color="auto" w:sz="4" w:space="0"/>
              <w:right w:val="single" w:color="auto" w:sz="4" w:space="0"/>
            </w:tcBorders>
            <w:vAlign w:val="center"/>
          </w:tcPr>
          <w:p w14:paraId="255CD55B">
            <w:pPr>
              <w:widowControl/>
              <w:spacing w:line="240" w:lineRule="exact"/>
              <w:jc w:val="center"/>
              <w:rPr>
                <w:rFonts w:hint="eastAsia" w:ascii="等线" w:hAnsi="等线" w:eastAsia="等线" w:cs="等线"/>
                <w:b/>
                <w:bCs/>
                <w:kern w:val="0"/>
                <w:sz w:val="15"/>
                <w:szCs w:val="15"/>
              </w:rPr>
            </w:pPr>
            <w:r>
              <w:rPr>
                <w:rFonts w:hint="eastAsia" w:ascii="等线" w:hAnsi="等线" w:eastAsia="等线" w:cs="等线"/>
                <w:b/>
                <w:bCs/>
                <w:kern w:val="0"/>
                <w:sz w:val="15"/>
                <w:szCs w:val="15"/>
              </w:rPr>
              <w:t>服务S</w:t>
            </w:r>
          </w:p>
          <w:p w14:paraId="6DB98F91">
            <w:pPr>
              <w:widowControl/>
              <w:spacing w:line="240" w:lineRule="exact"/>
              <w:jc w:val="center"/>
              <w:rPr>
                <w:rFonts w:hint="eastAsia" w:ascii="等线" w:hAnsi="等线" w:eastAsia="等线" w:cs="等线"/>
                <w:b/>
                <w:bCs/>
                <w:kern w:val="0"/>
                <w:sz w:val="15"/>
                <w:szCs w:val="15"/>
              </w:rPr>
            </w:pPr>
            <w:r>
              <w:rPr>
                <w:rFonts w:hint="eastAsia" w:ascii="等线" w:hAnsi="等线" w:eastAsia="等线" w:cs="等线"/>
                <w:b/>
                <w:bCs/>
                <w:kern w:val="0"/>
                <w:sz w:val="15"/>
                <w:szCs w:val="15"/>
              </w:rPr>
              <w:t>（100分）</w:t>
            </w:r>
          </w:p>
        </w:tc>
        <w:tc>
          <w:tcPr>
            <w:tcW w:w="936" w:type="pct"/>
            <w:tcBorders>
              <w:top w:val="nil"/>
              <w:left w:val="nil"/>
              <w:bottom w:val="single" w:color="auto" w:sz="4" w:space="0"/>
              <w:right w:val="single" w:color="auto" w:sz="4" w:space="0"/>
            </w:tcBorders>
            <w:vAlign w:val="center"/>
          </w:tcPr>
          <w:p w14:paraId="74E5A3A9">
            <w:pPr>
              <w:widowControl/>
              <w:spacing w:line="240" w:lineRule="exact"/>
              <w:jc w:val="center"/>
              <w:rPr>
                <w:rFonts w:hint="eastAsia" w:ascii="等线" w:hAnsi="等线" w:eastAsia="等线" w:cs="等线"/>
                <w:b/>
                <w:bCs/>
                <w:color w:val="000000"/>
                <w:kern w:val="0"/>
                <w:sz w:val="15"/>
                <w:szCs w:val="15"/>
              </w:rPr>
            </w:pPr>
            <w:r>
              <w:rPr>
                <w:rFonts w:hint="eastAsia" w:ascii="等线" w:hAnsi="等线" w:eastAsia="等线" w:cs="等线"/>
                <w:b/>
                <w:bCs/>
                <w:color w:val="000000"/>
                <w:kern w:val="0"/>
                <w:sz w:val="15"/>
                <w:szCs w:val="15"/>
              </w:rPr>
              <w:t>预约官员M3类油车样车检查时间（10分）</w:t>
            </w:r>
          </w:p>
        </w:tc>
        <w:tc>
          <w:tcPr>
            <w:tcW w:w="306" w:type="pct"/>
            <w:tcBorders>
              <w:top w:val="nil"/>
              <w:left w:val="nil"/>
              <w:bottom w:val="single" w:color="auto" w:sz="4" w:space="0"/>
              <w:right w:val="single" w:color="auto" w:sz="4" w:space="0"/>
            </w:tcBorders>
            <w:vAlign w:val="center"/>
          </w:tcPr>
          <w:p w14:paraId="23791507">
            <w:pPr>
              <w:widowControl/>
              <w:spacing w:line="240" w:lineRule="exact"/>
              <w:jc w:val="center"/>
              <w:rPr>
                <w:rFonts w:hint="eastAsia" w:ascii="等线" w:hAnsi="等线" w:eastAsia="等线" w:cs="等线"/>
                <w:b/>
                <w:bCs/>
                <w:color w:val="000000"/>
                <w:kern w:val="0"/>
                <w:sz w:val="15"/>
                <w:szCs w:val="15"/>
              </w:rPr>
            </w:pPr>
          </w:p>
        </w:tc>
        <w:tc>
          <w:tcPr>
            <w:tcW w:w="2393" w:type="pct"/>
            <w:tcBorders>
              <w:top w:val="nil"/>
              <w:left w:val="nil"/>
              <w:bottom w:val="single" w:color="auto" w:sz="4" w:space="0"/>
              <w:right w:val="single" w:color="auto" w:sz="4" w:space="0"/>
            </w:tcBorders>
            <w:vAlign w:val="center"/>
          </w:tcPr>
          <w:p w14:paraId="068E4E39">
            <w:pPr>
              <w:widowControl/>
              <w:spacing w:line="240" w:lineRule="exact"/>
              <w:rPr>
                <w:rFonts w:hint="eastAsia" w:ascii="等线" w:hAnsi="等线" w:eastAsia="等线" w:cs="等线"/>
                <w:b/>
                <w:bCs/>
                <w:color w:val="000000"/>
                <w:kern w:val="0"/>
                <w:sz w:val="15"/>
                <w:szCs w:val="15"/>
              </w:rPr>
            </w:pPr>
            <w:r>
              <w:rPr>
                <w:rFonts w:hint="eastAsia" w:ascii="等线" w:hAnsi="等线" w:eastAsia="等线" w:cs="等线"/>
                <w:b/>
                <w:bCs/>
                <w:color w:val="000000"/>
                <w:kern w:val="0"/>
                <w:sz w:val="15"/>
                <w:szCs w:val="15"/>
              </w:rPr>
              <w:t>自收到确认单后, 能保证___天内预约官员进行M3类油车样车检查。</w:t>
            </w:r>
          </w:p>
        </w:tc>
        <w:tc>
          <w:tcPr>
            <w:tcW w:w="626" w:type="pct"/>
            <w:vMerge w:val="restart"/>
            <w:tcBorders>
              <w:top w:val="nil"/>
              <w:left w:val="single" w:color="auto" w:sz="4" w:space="0"/>
              <w:bottom w:val="single" w:color="auto" w:sz="4" w:space="0"/>
              <w:right w:val="single" w:color="auto" w:sz="4" w:space="0"/>
            </w:tcBorders>
            <w:vAlign w:val="center"/>
          </w:tcPr>
          <w:p w14:paraId="726BB922">
            <w:pPr>
              <w:widowControl/>
              <w:spacing w:line="240" w:lineRule="exact"/>
              <w:rPr>
                <w:rFonts w:hint="eastAsia" w:ascii="等线" w:hAnsi="等线" w:eastAsia="等线" w:cs="宋体"/>
                <w:color w:val="000000"/>
                <w:kern w:val="0"/>
                <w:sz w:val="15"/>
                <w:szCs w:val="15"/>
              </w:rPr>
            </w:pPr>
            <w:r>
              <w:rPr>
                <w:rFonts w:hint="eastAsia" w:ascii="等线" w:hAnsi="等线" w:eastAsia="等线" w:cs="宋体"/>
                <w:b w:val="0"/>
                <w:bCs w:val="0"/>
                <w:color w:val="000000"/>
                <w:kern w:val="0"/>
                <w:sz w:val="15"/>
                <w:szCs w:val="15"/>
              </w:rPr>
              <w:t>出具盖章版的</w:t>
            </w:r>
            <w:r>
              <w:rPr>
                <w:rFonts w:hint="eastAsia" w:ascii="等线" w:hAnsi="等线" w:eastAsia="等线" w:cs="宋体"/>
                <w:b w:val="0"/>
                <w:bCs w:val="0"/>
                <w:color w:val="000000"/>
                <w:kern w:val="0"/>
                <w:sz w:val="15"/>
                <w:szCs w:val="15"/>
                <w:lang w:eastAsia="zh-CN"/>
              </w:rPr>
              <w:t>承诺</w:t>
            </w:r>
            <w:r>
              <w:rPr>
                <w:rFonts w:hint="eastAsia" w:ascii="等线" w:hAnsi="等线" w:eastAsia="等线" w:cs="宋体"/>
                <w:b w:val="0"/>
                <w:bCs w:val="0"/>
                <w:color w:val="000000"/>
                <w:kern w:val="0"/>
                <w:sz w:val="15"/>
                <w:szCs w:val="15"/>
              </w:rPr>
              <w:t>函</w:t>
            </w:r>
          </w:p>
        </w:tc>
      </w:tr>
      <w:tr w14:paraId="71A445E4">
        <w:tblPrEx>
          <w:tblCellMar>
            <w:top w:w="0" w:type="dxa"/>
            <w:left w:w="108" w:type="dxa"/>
            <w:bottom w:w="0" w:type="dxa"/>
            <w:right w:w="108" w:type="dxa"/>
          </w:tblCellMar>
        </w:tblPrEx>
        <w:trPr>
          <w:trHeight w:val="373" w:hRule="atLeast"/>
          <w:jc w:val="center"/>
        </w:trPr>
        <w:tc>
          <w:tcPr>
            <w:tcW w:w="203" w:type="pct"/>
            <w:vMerge w:val="continue"/>
            <w:tcBorders>
              <w:top w:val="nil"/>
              <w:left w:val="single" w:color="auto" w:sz="4" w:space="0"/>
              <w:bottom w:val="single" w:color="auto" w:sz="4" w:space="0"/>
              <w:right w:val="single" w:color="auto" w:sz="4" w:space="0"/>
            </w:tcBorders>
            <w:vAlign w:val="center"/>
          </w:tcPr>
          <w:p w14:paraId="510AB769">
            <w:pPr>
              <w:widowControl/>
              <w:spacing w:line="240" w:lineRule="exact"/>
              <w:jc w:val="left"/>
              <w:rPr>
                <w:rFonts w:hint="eastAsia" w:ascii="等线" w:hAnsi="等线" w:eastAsia="等线" w:cs="等线"/>
                <w:b/>
                <w:bCs/>
                <w:color w:val="000000"/>
                <w:kern w:val="0"/>
                <w:sz w:val="15"/>
                <w:szCs w:val="15"/>
              </w:rPr>
            </w:pPr>
          </w:p>
        </w:tc>
        <w:tc>
          <w:tcPr>
            <w:tcW w:w="533" w:type="pct"/>
            <w:vMerge w:val="continue"/>
            <w:tcBorders>
              <w:top w:val="nil"/>
              <w:left w:val="single" w:color="auto" w:sz="4" w:space="0"/>
              <w:bottom w:val="single" w:color="auto" w:sz="4" w:space="0"/>
              <w:right w:val="single" w:color="auto" w:sz="4" w:space="0"/>
            </w:tcBorders>
            <w:vAlign w:val="center"/>
          </w:tcPr>
          <w:p w14:paraId="09D00B45">
            <w:pPr>
              <w:widowControl/>
              <w:spacing w:line="240" w:lineRule="exact"/>
              <w:jc w:val="left"/>
              <w:rPr>
                <w:rFonts w:hint="eastAsia" w:ascii="等线" w:hAnsi="等线" w:eastAsia="等线" w:cs="等线"/>
                <w:b/>
                <w:bCs/>
                <w:color w:val="000000"/>
                <w:kern w:val="0"/>
                <w:sz w:val="15"/>
                <w:szCs w:val="15"/>
              </w:rPr>
            </w:pPr>
          </w:p>
        </w:tc>
        <w:tc>
          <w:tcPr>
            <w:tcW w:w="936" w:type="pct"/>
            <w:tcBorders>
              <w:top w:val="nil"/>
              <w:left w:val="nil"/>
              <w:bottom w:val="single" w:color="auto" w:sz="4" w:space="0"/>
              <w:right w:val="single" w:color="auto" w:sz="4" w:space="0"/>
            </w:tcBorders>
            <w:vAlign w:val="center"/>
          </w:tcPr>
          <w:p w14:paraId="185AA35A">
            <w:pPr>
              <w:widowControl/>
              <w:spacing w:line="240" w:lineRule="exact"/>
              <w:jc w:val="center"/>
              <w:rPr>
                <w:rFonts w:hint="eastAsia" w:ascii="等线" w:hAnsi="等线" w:eastAsia="等线" w:cs="等线"/>
                <w:b/>
                <w:bCs/>
                <w:color w:val="000000"/>
                <w:kern w:val="0"/>
                <w:sz w:val="15"/>
                <w:szCs w:val="15"/>
              </w:rPr>
            </w:pPr>
            <w:r>
              <w:rPr>
                <w:rFonts w:hint="eastAsia" w:ascii="等线" w:hAnsi="等线" w:eastAsia="等线" w:cs="等线"/>
                <w:b/>
                <w:bCs/>
                <w:color w:val="000000"/>
                <w:kern w:val="0"/>
                <w:sz w:val="15"/>
                <w:szCs w:val="15"/>
              </w:rPr>
              <w:t>预约官员油车碰撞目击时间</w:t>
            </w:r>
          </w:p>
          <w:p w14:paraId="30F2C971">
            <w:pPr>
              <w:widowControl/>
              <w:spacing w:line="240" w:lineRule="exact"/>
              <w:jc w:val="center"/>
              <w:rPr>
                <w:rFonts w:hint="eastAsia" w:ascii="等线" w:hAnsi="等线" w:eastAsia="等线" w:cs="等线"/>
                <w:b/>
                <w:bCs/>
                <w:color w:val="000000"/>
                <w:kern w:val="0"/>
                <w:sz w:val="15"/>
                <w:szCs w:val="15"/>
              </w:rPr>
            </w:pPr>
            <w:r>
              <w:rPr>
                <w:rFonts w:hint="eastAsia" w:ascii="等线" w:hAnsi="等线" w:eastAsia="等线" w:cs="等线"/>
                <w:b/>
                <w:bCs/>
                <w:color w:val="000000"/>
                <w:kern w:val="0"/>
                <w:sz w:val="15"/>
                <w:szCs w:val="15"/>
              </w:rPr>
              <w:t>（10分）</w:t>
            </w:r>
          </w:p>
        </w:tc>
        <w:tc>
          <w:tcPr>
            <w:tcW w:w="306" w:type="pct"/>
            <w:tcBorders>
              <w:top w:val="nil"/>
              <w:left w:val="nil"/>
              <w:bottom w:val="single" w:color="auto" w:sz="4" w:space="0"/>
              <w:right w:val="single" w:color="auto" w:sz="4" w:space="0"/>
            </w:tcBorders>
            <w:vAlign w:val="center"/>
          </w:tcPr>
          <w:p w14:paraId="70A7D239">
            <w:pPr>
              <w:widowControl/>
              <w:spacing w:line="240" w:lineRule="exact"/>
              <w:jc w:val="center"/>
              <w:rPr>
                <w:rFonts w:hint="eastAsia" w:ascii="等线" w:hAnsi="等线" w:eastAsia="等线" w:cs="等线"/>
                <w:b/>
                <w:bCs/>
                <w:color w:val="000000"/>
                <w:kern w:val="0"/>
                <w:sz w:val="15"/>
                <w:szCs w:val="15"/>
              </w:rPr>
            </w:pPr>
          </w:p>
        </w:tc>
        <w:tc>
          <w:tcPr>
            <w:tcW w:w="2393" w:type="pct"/>
            <w:tcBorders>
              <w:top w:val="nil"/>
              <w:left w:val="nil"/>
              <w:bottom w:val="single" w:color="auto" w:sz="4" w:space="0"/>
              <w:right w:val="single" w:color="auto" w:sz="4" w:space="0"/>
            </w:tcBorders>
            <w:vAlign w:val="center"/>
          </w:tcPr>
          <w:p w14:paraId="2F10D122">
            <w:pPr>
              <w:widowControl/>
              <w:spacing w:line="240" w:lineRule="exact"/>
              <w:rPr>
                <w:rFonts w:hint="eastAsia" w:ascii="等线" w:hAnsi="等线" w:eastAsia="等线" w:cs="等线"/>
                <w:b/>
                <w:bCs/>
                <w:color w:val="000000"/>
                <w:kern w:val="0"/>
                <w:sz w:val="15"/>
                <w:szCs w:val="15"/>
              </w:rPr>
            </w:pPr>
            <w:r>
              <w:rPr>
                <w:rFonts w:hint="eastAsia" w:ascii="等线" w:hAnsi="等线" w:eastAsia="等线" w:cs="等线"/>
                <w:b/>
                <w:bCs/>
                <w:color w:val="000000"/>
                <w:kern w:val="0"/>
                <w:sz w:val="15"/>
                <w:szCs w:val="15"/>
              </w:rPr>
              <w:t>自收到确认单后, 能保证___天内预约官员进行油车碰撞目击。</w:t>
            </w:r>
          </w:p>
        </w:tc>
        <w:tc>
          <w:tcPr>
            <w:tcW w:w="626" w:type="pct"/>
            <w:vMerge w:val="continue"/>
            <w:tcBorders>
              <w:top w:val="nil"/>
              <w:left w:val="single" w:color="auto" w:sz="4" w:space="0"/>
              <w:bottom w:val="single" w:color="auto" w:sz="4" w:space="0"/>
              <w:right w:val="single" w:color="auto" w:sz="4" w:space="0"/>
            </w:tcBorders>
            <w:vAlign w:val="center"/>
          </w:tcPr>
          <w:p w14:paraId="3F98BC08">
            <w:pPr>
              <w:widowControl/>
              <w:spacing w:line="240" w:lineRule="exact"/>
              <w:jc w:val="left"/>
              <w:rPr>
                <w:rFonts w:hint="eastAsia" w:ascii="等线" w:hAnsi="等线" w:eastAsia="等线" w:cs="宋体"/>
                <w:color w:val="000000"/>
                <w:kern w:val="0"/>
                <w:sz w:val="15"/>
                <w:szCs w:val="15"/>
              </w:rPr>
            </w:pPr>
          </w:p>
        </w:tc>
      </w:tr>
      <w:tr w14:paraId="69510221">
        <w:tblPrEx>
          <w:tblCellMar>
            <w:top w:w="0" w:type="dxa"/>
            <w:left w:w="108" w:type="dxa"/>
            <w:bottom w:w="0" w:type="dxa"/>
            <w:right w:w="108" w:type="dxa"/>
          </w:tblCellMar>
        </w:tblPrEx>
        <w:trPr>
          <w:trHeight w:val="355" w:hRule="atLeast"/>
          <w:jc w:val="center"/>
        </w:trPr>
        <w:tc>
          <w:tcPr>
            <w:tcW w:w="203" w:type="pct"/>
            <w:vMerge w:val="continue"/>
            <w:tcBorders>
              <w:top w:val="nil"/>
              <w:left w:val="single" w:color="auto" w:sz="4" w:space="0"/>
              <w:bottom w:val="single" w:color="auto" w:sz="4" w:space="0"/>
              <w:right w:val="single" w:color="auto" w:sz="4" w:space="0"/>
            </w:tcBorders>
            <w:vAlign w:val="center"/>
          </w:tcPr>
          <w:p w14:paraId="6B080C13">
            <w:pPr>
              <w:widowControl/>
              <w:spacing w:line="240" w:lineRule="exact"/>
              <w:jc w:val="left"/>
              <w:rPr>
                <w:rFonts w:hint="eastAsia" w:ascii="等线" w:hAnsi="等线" w:eastAsia="等线" w:cs="等线"/>
                <w:b/>
                <w:bCs/>
                <w:color w:val="000000"/>
                <w:kern w:val="0"/>
                <w:sz w:val="15"/>
                <w:szCs w:val="15"/>
              </w:rPr>
            </w:pPr>
          </w:p>
        </w:tc>
        <w:tc>
          <w:tcPr>
            <w:tcW w:w="533" w:type="pct"/>
            <w:vMerge w:val="continue"/>
            <w:tcBorders>
              <w:top w:val="nil"/>
              <w:left w:val="single" w:color="auto" w:sz="4" w:space="0"/>
              <w:bottom w:val="single" w:color="auto" w:sz="4" w:space="0"/>
              <w:right w:val="single" w:color="auto" w:sz="4" w:space="0"/>
            </w:tcBorders>
            <w:vAlign w:val="center"/>
          </w:tcPr>
          <w:p w14:paraId="5CA29B42">
            <w:pPr>
              <w:widowControl/>
              <w:spacing w:line="240" w:lineRule="exact"/>
              <w:jc w:val="left"/>
              <w:rPr>
                <w:rFonts w:hint="eastAsia" w:ascii="等线" w:hAnsi="等线" w:eastAsia="等线" w:cs="等线"/>
                <w:b/>
                <w:bCs/>
                <w:color w:val="000000"/>
                <w:kern w:val="0"/>
                <w:sz w:val="15"/>
                <w:szCs w:val="15"/>
              </w:rPr>
            </w:pPr>
          </w:p>
        </w:tc>
        <w:tc>
          <w:tcPr>
            <w:tcW w:w="936" w:type="pct"/>
            <w:tcBorders>
              <w:top w:val="nil"/>
              <w:left w:val="nil"/>
              <w:bottom w:val="single" w:color="auto" w:sz="4" w:space="0"/>
              <w:right w:val="single" w:color="auto" w:sz="4" w:space="0"/>
            </w:tcBorders>
            <w:vAlign w:val="center"/>
          </w:tcPr>
          <w:p w14:paraId="116BF6B5">
            <w:pPr>
              <w:widowControl/>
              <w:spacing w:line="240" w:lineRule="exact"/>
              <w:jc w:val="center"/>
              <w:rPr>
                <w:rFonts w:hint="eastAsia" w:ascii="等线" w:hAnsi="等线" w:eastAsia="等线" w:cs="等线"/>
                <w:b/>
                <w:bCs/>
                <w:color w:val="000000"/>
                <w:kern w:val="0"/>
                <w:sz w:val="15"/>
                <w:szCs w:val="15"/>
              </w:rPr>
            </w:pPr>
            <w:r>
              <w:rPr>
                <w:rFonts w:hint="eastAsia" w:ascii="等线" w:hAnsi="等线" w:eastAsia="等线" w:cs="等线"/>
                <w:b/>
                <w:bCs/>
                <w:color w:val="000000"/>
                <w:kern w:val="0"/>
                <w:sz w:val="15"/>
                <w:szCs w:val="15"/>
              </w:rPr>
              <w:t>预约官员电车目击时间</w:t>
            </w:r>
          </w:p>
          <w:p w14:paraId="6D696F5A">
            <w:pPr>
              <w:widowControl/>
              <w:spacing w:line="240" w:lineRule="exact"/>
              <w:jc w:val="center"/>
              <w:rPr>
                <w:rFonts w:hint="eastAsia" w:ascii="等线" w:hAnsi="等线" w:eastAsia="等线" w:cs="等线"/>
                <w:b/>
                <w:bCs/>
                <w:color w:val="000000"/>
                <w:kern w:val="0"/>
                <w:sz w:val="15"/>
                <w:szCs w:val="15"/>
              </w:rPr>
            </w:pPr>
            <w:r>
              <w:rPr>
                <w:rFonts w:hint="eastAsia" w:ascii="等线" w:hAnsi="等线" w:eastAsia="等线" w:cs="等线"/>
                <w:b/>
                <w:bCs/>
                <w:color w:val="000000"/>
                <w:kern w:val="0"/>
                <w:sz w:val="15"/>
                <w:szCs w:val="15"/>
              </w:rPr>
              <w:t>（10分）</w:t>
            </w:r>
          </w:p>
        </w:tc>
        <w:tc>
          <w:tcPr>
            <w:tcW w:w="306" w:type="pct"/>
            <w:tcBorders>
              <w:top w:val="nil"/>
              <w:left w:val="nil"/>
              <w:bottom w:val="single" w:color="auto" w:sz="4" w:space="0"/>
              <w:right w:val="single" w:color="auto" w:sz="4" w:space="0"/>
            </w:tcBorders>
            <w:vAlign w:val="center"/>
          </w:tcPr>
          <w:p w14:paraId="1BD91B93">
            <w:pPr>
              <w:widowControl/>
              <w:textAlignment w:val="center"/>
              <w:rPr>
                <w:rFonts w:hint="eastAsia" w:ascii="等线" w:hAnsi="等线" w:eastAsia="等线" w:cs="等线"/>
                <w:b/>
                <w:bCs/>
                <w:color w:val="000000"/>
                <w:kern w:val="0"/>
                <w:sz w:val="15"/>
                <w:szCs w:val="15"/>
              </w:rPr>
            </w:pPr>
          </w:p>
        </w:tc>
        <w:tc>
          <w:tcPr>
            <w:tcW w:w="2393" w:type="pct"/>
            <w:tcBorders>
              <w:top w:val="nil"/>
              <w:left w:val="nil"/>
              <w:bottom w:val="single" w:color="auto" w:sz="4" w:space="0"/>
              <w:right w:val="single" w:color="auto" w:sz="4" w:space="0"/>
            </w:tcBorders>
            <w:vAlign w:val="center"/>
          </w:tcPr>
          <w:p w14:paraId="251D24A6">
            <w:pPr>
              <w:widowControl/>
              <w:spacing w:line="240" w:lineRule="exact"/>
              <w:rPr>
                <w:rFonts w:hint="eastAsia" w:ascii="等线" w:hAnsi="等线" w:eastAsia="等线" w:cs="等线"/>
                <w:b/>
                <w:bCs/>
                <w:color w:val="000000"/>
                <w:kern w:val="0"/>
                <w:sz w:val="15"/>
                <w:szCs w:val="15"/>
              </w:rPr>
            </w:pPr>
            <w:r>
              <w:rPr>
                <w:rFonts w:hint="eastAsia" w:ascii="等线" w:hAnsi="等线" w:eastAsia="等线" w:cs="等线"/>
                <w:b/>
                <w:bCs/>
                <w:color w:val="000000"/>
                <w:kern w:val="0"/>
                <w:sz w:val="15"/>
                <w:szCs w:val="15"/>
              </w:rPr>
              <w:t>自收到确认单后, 能保证___天内预约官员进行电车目击，并能同时预约GCC、阿联酋或沙特中的两家认证官员进行电车目击。</w:t>
            </w:r>
          </w:p>
        </w:tc>
        <w:tc>
          <w:tcPr>
            <w:tcW w:w="626" w:type="pct"/>
            <w:vMerge w:val="continue"/>
            <w:tcBorders>
              <w:top w:val="nil"/>
              <w:left w:val="single" w:color="auto" w:sz="4" w:space="0"/>
              <w:bottom w:val="single" w:color="auto" w:sz="4" w:space="0"/>
              <w:right w:val="single" w:color="auto" w:sz="4" w:space="0"/>
            </w:tcBorders>
            <w:vAlign w:val="center"/>
          </w:tcPr>
          <w:p w14:paraId="4196F63E">
            <w:pPr>
              <w:widowControl/>
              <w:spacing w:line="240" w:lineRule="exact"/>
              <w:jc w:val="left"/>
              <w:rPr>
                <w:rFonts w:hint="eastAsia" w:ascii="等线" w:hAnsi="等线" w:eastAsia="等线" w:cs="宋体"/>
                <w:color w:val="000000"/>
                <w:kern w:val="0"/>
                <w:sz w:val="15"/>
                <w:szCs w:val="15"/>
              </w:rPr>
            </w:pPr>
          </w:p>
        </w:tc>
      </w:tr>
      <w:tr w14:paraId="79C04DD9">
        <w:tblPrEx>
          <w:tblCellMar>
            <w:top w:w="0" w:type="dxa"/>
            <w:left w:w="108" w:type="dxa"/>
            <w:bottom w:w="0" w:type="dxa"/>
            <w:right w:w="108" w:type="dxa"/>
          </w:tblCellMar>
        </w:tblPrEx>
        <w:trPr>
          <w:trHeight w:val="255" w:hRule="atLeast"/>
          <w:jc w:val="center"/>
        </w:trPr>
        <w:tc>
          <w:tcPr>
            <w:tcW w:w="203" w:type="pct"/>
            <w:vMerge w:val="continue"/>
            <w:tcBorders>
              <w:top w:val="nil"/>
              <w:left w:val="single" w:color="auto" w:sz="4" w:space="0"/>
              <w:bottom w:val="single" w:color="auto" w:sz="4" w:space="0"/>
              <w:right w:val="single" w:color="auto" w:sz="4" w:space="0"/>
            </w:tcBorders>
            <w:vAlign w:val="center"/>
          </w:tcPr>
          <w:p w14:paraId="5FB97A10">
            <w:pPr>
              <w:widowControl/>
              <w:spacing w:line="240" w:lineRule="exact"/>
              <w:jc w:val="left"/>
              <w:rPr>
                <w:rFonts w:hint="eastAsia" w:ascii="等线" w:hAnsi="等线" w:eastAsia="等线" w:cs="等线"/>
                <w:b/>
                <w:bCs/>
                <w:color w:val="000000"/>
                <w:kern w:val="0"/>
                <w:sz w:val="15"/>
                <w:szCs w:val="15"/>
              </w:rPr>
            </w:pPr>
          </w:p>
        </w:tc>
        <w:tc>
          <w:tcPr>
            <w:tcW w:w="533" w:type="pct"/>
            <w:vMerge w:val="continue"/>
            <w:tcBorders>
              <w:top w:val="nil"/>
              <w:left w:val="single" w:color="auto" w:sz="4" w:space="0"/>
              <w:bottom w:val="single" w:color="auto" w:sz="4" w:space="0"/>
              <w:right w:val="single" w:color="auto" w:sz="4" w:space="0"/>
            </w:tcBorders>
            <w:vAlign w:val="center"/>
          </w:tcPr>
          <w:p w14:paraId="32A92EBD">
            <w:pPr>
              <w:widowControl/>
              <w:spacing w:line="240" w:lineRule="exact"/>
              <w:jc w:val="left"/>
              <w:rPr>
                <w:rFonts w:hint="eastAsia" w:ascii="等线" w:hAnsi="等线" w:eastAsia="等线" w:cs="等线"/>
                <w:b/>
                <w:bCs/>
                <w:color w:val="000000"/>
                <w:kern w:val="0"/>
                <w:sz w:val="15"/>
                <w:szCs w:val="15"/>
              </w:rPr>
            </w:pPr>
          </w:p>
        </w:tc>
        <w:tc>
          <w:tcPr>
            <w:tcW w:w="936" w:type="pct"/>
            <w:tcBorders>
              <w:top w:val="nil"/>
              <w:left w:val="nil"/>
              <w:bottom w:val="single" w:color="auto" w:sz="4" w:space="0"/>
              <w:right w:val="single" w:color="auto" w:sz="4" w:space="0"/>
            </w:tcBorders>
            <w:vAlign w:val="center"/>
          </w:tcPr>
          <w:p w14:paraId="591D3EC1">
            <w:pPr>
              <w:widowControl/>
              <w:spacing w:line="240" w:lineRule="exact"/>
              <w:jc w:val="center"/>
              <w:rPr>
                <w:rFonts w:hint="eastAsia" w:ascii="等线" w:hAnsi="等线" w:eastAsia="等线" w:cs="等线"/>
                <w:b/>
                <w:bCs/>
                <w:color w:val="000000"/>
                <w:kern w:val="0"/>
                <w:sz w:val="15"/>
                <w:szCs w:val="15"/>
              </w:rPr>
            </w:pPr>
            <w:r>
              <w:rPr>
                <w:rFonts w:hint="eastAsia" w:ascii="等线" w:hAnsi="等线" w:eastAsia="等线" w:cs="等线"/>
                <w:b/>
                <w:bCs/>
                <w:color w:val="000000"/>
                <w:kern w:val="0"/>
                <w:sz w:val="15"/>
                <w:szCs w:val="15"/>
              </w:rPr>
              <w:t>油车新车型认证完成时间</w:t>
            </w:r>
            <w:r>
              <w:rPr>
                <w:rFonts w:hint="eastAsia" w:ascii="等线" w:hAnsi="等线" w:eastAsia="等线" w:cs="等线"/>
                <w:b/>
                <w:bCs/>
                <w:color w:val="000000"/>
                <w:kern w:val="0"/>
                <w:sz w:val="15"/>
                <w:szCs w:val="15"/>
              </w:rPr>
              <w:br w:type="textWrapping"/>
            </w:r>
            <w:r>
              <w:rPr>
                <w:rFonts w:hint="eastAsia" w:ascii="等线" w:hAnsi="等线" w:eastAsia="等线" w:cs="等线"/>
                <w:b/>
                <w:bCs/>
                <w:color w:val="000000"/>
                <w:kern w:val="0"/>
                <w:sz w:val="15"/>
                <w:szCs w:val="15"/>
              </w:rPr>
              <w:t>（10分）</w:t>
            </w:r>
          </w:p>
        </w:tc>
        <w:tc>
          <w:tcPr>
            <w:tcW w:w="306" w:type="pct"/>
            <w:tcBorders>
              <w:top w:val="nil"/>
              <w:left w:val="nil"/>
              <w:bottom w:val="single" w:color="auto" w:sz="4" w:space="0"/>
              <w:right w:val="single" w:color="auto" w:sz="4" w:space="0"/>
            </w:tcBorders>
            <w:vAlign w:val="center"/>
          </w:tcPr>
          <w:p w14:paraId="193F1606">
            <w:pPr>
              <w:widowControl/>
              <w:spacing w:line="240" w:lineRule="exact"/>
              <w:jc w:val="center"/>
              <w:rPr>
                <w:rFonts w:hint="eastAsia" w:ascii="等线" w:hAnsi="等线" w:eastAsia="等线" w:cs="等线"/>
                <w:b/>
                <w:bCs/>
                <w:color w:val="000000"/>
                <w:kern w:val="0"/>
                <w:sz w:val="15"/>
                <w:szCs w:val="15"/>
              </w:rPr>
            </w:pPr>
          </w:p>
        </w:tc>
        <w:tc>
          <w:tcPr>
            <w:tcW w:w="2393" w:type="pct"/>
            <w:tcBorders>
              <w:top w:val="nil"/>
              <w:left w:val="nil"/>
              <w:bottom w:val="single" w:color="auto" w:sz="4" w:space="0"/>
              <w:right w:val="single" w:color="auto" w:sz="4" w:space="0"/>
            </w:tcBorders>
            <w:vAlign w:val="center"/>
          </w:tcPr>
          <w:p w14:paraId="6973162B">
            <w:pPr>
              <w:widowControl/>
              <w:spacing w:line="240" w:lineRule="exact"/>
              <w:rPr>
                <w:rFonts w:hint="eastAsia" w:ascii="等线" w:hAnsi="等线" w:eastAsia="等线" w:cs="等线"/>
                <w:b/>
                <w:bCs/>
                <w:color w:val="000000"/>
                <w:kern w:val="0"/>
                <w:sz w:val="15"/>
                <w:szCs w:val="15"/>
              </w:rPr>
            </w:pPr>
            <w:r>
              <w:rPr>
                <w:rFonts w:hint="eastAsia" w:ascii="等线" w:hAnsi="等线" w:eastAsia="等线" w:cs="等线"/>
                <w:b/>
                <w:bCs/>
                <w:color w:val="000000"/>
                <w:kern w:val="0"/>
                <w:sz w:val="15"/>
                <w:szCs w:val="15"/>
              </w:rPr>
              <w:t>自目击通过且技术资料提供之日起, 能保证___天内取得GCC证书。</w:t>
            </w:r>
          </w:p>
        </w:tc>
        <w:tc>
          <w:tcPr>
            <w:tcW w:w="626" w:type="pct"/>
            <w:vMerge w:val="continue"/>
            <w:tcBorders>
              <w:top w:val="nil"/>
              <w:left w:val="single" w:color="auto" w:sz="4" w:space="0"/>
              <w:bottom w:val="single" w:color="auto" w:sz="4" w:space="0"/>
              <w:right w:val="single" w:color="auto" w:sz="4" w:space="0"/>
            </w:tcBorders>
            <w:vAlign w:val="center"/>
          </w:tcPr>
          <w:p w14:paraId="3D40FB46">
            <w:pPr>
              <w:widowControl/>
              <w:spacing w:line="240" w:lineRule="exact"/>
              <w:jc w:val="left"/>
              <w:rPr>
                <w:rFonts w:hint="eastAsia" w:ascii="等线" w:hAnsi="等线" w:eastAsia="等线" w:cs="宋体"/>
                <w:color w:val="000000"/>
                <w:kern w:val="0"/>
                <w:sz w:val="15"/>
                <w:szCs w:val="15"/>
              </w:rPr>
            </w:pPr>
          </w:p>
        </w:tc>
      </w:tr>
      <w:tr w14:paraId="7B12EED6">
        <w:tblPrEx>
          <w:tblCellMar>
            <w:top w:w="0" w:type="dxa"/>
            <w:left w:w="108" w:type="dxa"/>
            <w:bottom w:w="0" w:type="dxa"/>
            <w:right w:w="108" w:type="dxa"/>
          </w:tblCellMar>
        </w:tblPrEx>
        <w:trPr>
          <w:trHeight w:val="255" w:hRule="atLeast"/>
          <w:jc w:val="center"/>
        </w:trPr>
        <w:tc>
          <w:tcPr>
            <w:tcW w:w="203" w:type="pct"/>
            <w:vMerge w:val="continue"/>
            <w:tcBorders>
              <w:top w:val="nil"/>
              <w:left w:val="single" w:color="auto" w:sz="4" w:space="0"/>
              <w:bottom w:val="single" w:color="auto" w:sz="4" w:space="0"/>
              <w:right w:val="single" w:color="auto" w:sz="4" w:space="0"/>
            </w:tcBorders>
            <w:vAlign w:val="center"/>
          </w:tcPr>
          <w:p w14:paraId="5B95207F">
            <w:pPr>
              <w:widowControl/>
              <w:spacing w:line="240" w:lineRule="exact"/>
              <w:jc w:val="left"/>
              <w:rPr>
                <w:rFonts w:hint="eastAsia" w:ascii="等线" w:hAnsi="等线" w:eastAsia="等线" w:cs="等线"/>
                <w:b/>
                <w:bCs/>
                <w:color w:val="000000"/>
                <w:kern w:val="0"/>
                <w:sz w:val="15"/>
                <w:szCs w:val="15"/>
              </w:rPr>
            </w:pPr>
          </w:p>
        </w:tc>
        <w:tc>
          <w:tcPr>
            <w:tcW w:w="533" w:type="pct"/>
            <w:vMerge w:val="continue"/>
            <w:tcBorders>
              <w:top w:val="nil"/>
              <w:left w:val="single" w:color="auto" w:sz="4" w:space="0"/>
              <w:bottom w:val="single" w:color="auto" w:sz="4" w:space="0"/>
              <w:right w:val="single" w:color="auto" w:sz="4" w:space="0"/>
            </w:tcBorders>
            <w:vAlign w:val="center"/>
          </w:tcPr>
          <w:p w14:paraId="48C083C8">
            <w:pPr>
              <w:widowControl/>
              <w:spacing w:line="240" w:lineRule="exact"/>
              <w:jc w:val="left"/>
              <w:rPr>
                <w:rFonts w:hint="eastAsia" w:ascii="等线" w:hAnsi="等线" w:eastAsia="等线" w:cs="等线"/>
                <w:b/>
                <w:bCs/>
                <w:color w:val="000000"/>
                <w:kern w:val="0"/>
                <w:sz w:val="15"/>
                <w:szCs w:val="15"/>
              </w:rPr>
            </w:pPr>
          </w:p>
        </w:tc>
        <w:tc>
          <w:tcPr>
            <w:tcW w:w="936" w:type="pct"/>
            <w:tcBorders>
              <w:top w:val="nil"/>
              <w:left w:val="nil"/>
              <w:bottom w:val="single" w:color="auto" w:sz="4" w:space="0"/>
              <w:right w:val="single" w:color="auto" w:sz="4" w:space="0"/>
            </w:tcBorders>
            <w:vAlign w:val="center"/>
          </w:tcPr>
          <w:p w14:paraId="37EFECBC">
            <w:pPr>
              <w:widowControl/>
              <w:spacing w:line="240" w:lineRule="exact"/>
              <w:jc w:val="center"/>
              <w:rPr>
                <w:rFonts w:hint="eastAsia" w:ascii="等线" w:hAnsi="等线" w:eastAsia="等线" w:cs="等线"/>
                <w:b/>
                <w:bCs/>
                <w:color w:val="000000"/>
                <w:kern w:val="0"/>
                <w:sz w:val="15"/>
                <w:szCs w:val="15"/>
              </w:rPr>
            </w:pPr>
            <w:r>
              <w:rPr>
                <w:rFonts w:hint="eastAsia" w:ascii="等线" w:hAnsi="等线" w:eastAsia="等线" w:cs="等线"/>
                <w:b/>
                <w:bCs/>
                <w:color w:val="000000"/>
                <w:kern w:val="0"/>
                <w:sz w:val="15"/>
                <w:szCs w:val="15"/>
              </w:rPr>
              <w:t>油车新车型认证的报告数量</w:t>
            </w:r>
          </w:p>
          <w:p w14:paraId="386CCB91">
            <w:pPr>
              <w:widowControl/>
              <w:spacing w:line="240" w:lineRule="exact"/>
              <w:jc w:val="center"/>
              <w:rPr>
                <w:rFonts w:hint="eastAsia" w:ascii="等线" w:hAnsi="等线" w:eastAsia="等线" w:cs="等线"/>
                <w:b/>
                <w:bCs/>
                <w:color w:val="000000"/>
                <w:kern w:val="0"/>
                <w:sz w:val="15"/>
                <w:szCs w:val="15"/>
              </w:rPr>
            </w:pPr>
            <w:r>
              <w:rPr>
                <w:rFonts w:hint="eastAsia" w:ascii="等线" w:hAnsi="等线" w:eastAsia="等线" w:cs="等线"/>
                <w:b/>
                <w:bCs/>
                <w:color w:val="000000"/>
                <w:kern w:val="0"/>
                <w:sz w:val="15"/>
                <w:szCs w:val="15"/>
              </w:rPr>
              <w:t>（5分）</w:t>
            </w:r>
          </w:p>
        </w:tc>
        <w:tc>
          <w:tcPr>
            <w:tcW w:w="306" w:type="pct"/>
            <w:tcBorders>
              <w:top w:val="nil"/>
              <w:left w:val="nil"/>
              <w:bottom w:val="single" w:color="auto" w:sz="4" w:space="0"/>
              <w:right w:val="single" w:color="auto" w:sz="4" w:space="0"/>
            </w:tcBorders>
            <w:vAlign w:val="center"/>
          </w:tcPr>
          <w:p w14:paraId="7491E984">
            <w:pPr>
              <w:widowControl/>
              <w:spacing w:line="240" w:lineRule="exact"/>
              <w:jc w:val="center"/>
              <w:rPr>
                <w:rFonts w:hint="eastAsia" w:ascii="等线" w:hAnsi="等线" w:eastAsia="等线" w:cs="等线"/>
                <w:b/>
                <w:bCs/>
                <w:color w:val="000000"/>
                <w:kern w:val="0"/>
                <w:sz w:val="15"/>
                <w:szCs w:val="15"/>
              </w:rPr>
            </w:pPr>
          </w:p>
        </w:tc>
        <w:tc>
          <w:tcPr>
            <w:tcW w:w="2393" w:type="pct"/>
            <w:tcBorders>
              <w:top w:val="nil"/>
              <w:left w:val="nil"/>
              <w:bottom w:val="single" w:color="auto" w:sz="4" w:space="0"/>
              <w:right w:val="single" w:color="auto" w:sz="4" w:space="0"/>
            </w:tcBorders>
            <w:vAlign w:val="center"/>
          </w:tcPr>
          <w:p w14:paraId="2F35BE5E">
            <w:pPr>
              <w:widowControl/>
              <w:spacing w:line="240" w:lineRule="exact"/>
              <w:rPr>
                <w:rFonts w:hint="eastAsia" w:ascii="等线" w:hAnsi="等线" w:eastAsia="等线" w:cs="等线"/>
                <w:b/>
                <w:bCs/>
                <w:color w:val="000000"/>
                <w:kern w:val="0"/>
                <w:sz w:val="15"/>
                <w:szCs w:val="15"/>
              </w:rPr>
            </w:pPr>
            <w:r>
              <w:rPr>
                <w:rFonts w:hint="eastAsia" w:ascii="等线" w:hAnsi="等线" w:eastAsia="等线" w:cs="等线"/>
                <w:b/>
                <w:bCs/>
                <w:color w:val="000000"/>
                <w:kern w:val="0"/>
                <w:sz w:val="15"/>
                <w:szCs w:val="15"/>
              </w:rPr>
              <w:t>油车新车型认证打包项目总的提供___份报告。</w:t>
            </w:r>
          </w:p>
        </w:tc>
        <w:tc>
          <w:tcPr>
            <w:tcW w:w="626" w:type="pct"/>
            <w:vMerge w:val="continue"/>
            <w:tcBorders>
              <w:top w:val="nil"/>
              <w:left w:val="single" w:color="auto" w:sz="4" w:space="0"/>
              <w:bottom w:val="single" w:color="auto" w:sz="4" w:space="0"/>
              <w:right w:val="single" w:color="auto" w:sz="4" w:space="0"/>
            </w:tcBorders>
            <w:vAlign w:val="center"/>
          </w:tcPr>
          <w:p w14:paraId="5DE46F98">
            <w:pPr>
              <w:widowControl/>
              <w:spacing w:line="240" w:lineRule="exact"/>
              <w:jc w:val="left"/>
              <w:rPr>
                <w:rFonts w:hint="eastAsia" w:ascii="等线" w:hAnsi="等线" w:eastAsia="等线" w:cs="宋体"/>
                <w:color w:val="000000"/>
                <w:kern w:val="0"/>
                <w:sz w:val="15"/>
                <w:szCs w:val="15"/>
              </w:rPr>
            </w:pPr>
          </w:p>
        </w:tc>
      </w:tr>
      <w:tr w14:paraId="3C24F75D">
        <w:tblPrEx>
          <w:tblCellMar>
            <w:top w:w="0" w:type="dxa"/>
            <w:left w:w="108" w:type="dxa"/>
            <w:bottom w:w="0" w:type="dxa"/>
            <w:right w:w="108" w:type="dxa"/>
          </w:tblCellMar>
        </w:tblPrEx>
        <w:trPr>
          <w:trHeight w:val="255" w:hRule="atLeast"/>
          <w:jc w:val="center"/>
        </w:trPr>
        <w:tc>
          <w:tcPr>
            <w:tcW w:w="203" w:type="pct"/>
            <w:vMerge w:val="continue"/>
            <w:tcBorders>
              <w:top w:val="nil"/>
              <w:left w:val="single" w:color="auto" w:sz="4" w:space="0"/>
              <w:bottom w:val="single" w:color="auto" w:sz="4" w:space="0"/>
              <w:right w:val="single" w:color="auto" w:sz="4" w:space="0"/>
            </w:tcBorders>
            <w:vAlign w:val="center"/>
          </w:tcPr>
          <w:p w14:paraId="24151751">
            <w:pPr>
              <w:widowControl/>
              <w:spacing w:line="240" w:lineRule="exact"/>
              <w:jc w:val="left"/>
              <w:rPr>
                <w:rFonts w:hint="eastAsia" w:ascii="等线" w:hAnsi="等线" w:eastAsia="等线" w:cs="等线"/>
                <w:b/>
                <w:bCs/>
                <w:color w:val="000000"/>
                <w:kern w:val="0"/>
                <w:sz w:val="15"/>
                <w:szCs w:val="15"/>
              </w:rPr>
            </w:pPr>
          </w:p>
        </w:tc>
        <w:tc>
          <w:tcPr>
            <w:tcW w:w="533" w:type="pct"/>
            <w:vMerge w:val="continue"/>
            <w:tcBorders>
              <w:top w:val="nil"/>
              <w:left w:val="single" w:color="auto" w:sz="4" w:space="0"/>
              <w:bottom w:val="single" w:color="auto" w:sz="4" w:space="0"/>
              <w:right w:val="single" w:color="auto" w:sz="4" w:space="0"/>
            </w:tcBorders>
            <w:vAlign w:val="center"/>
          </w:tcPr>
          <w:p w14:paraId="4B0FDBA9">
            <w:pPr>
              <w:widowControl/>
              <w:spacing w:line="240" w:lineRule="exact"/>
              <w:jc w:val="left"/>
              <w:rPr>
                <w:rFonts w:hint="eastAsia" w:ascii="等线" w:hAnsi="等线" w:eastAsia="等线" w:cs="等线"/>
                <w:b/>
                <w:bCs/>
                <w:color w:val="000000"/>
                <w:kern w:val="0"/>
                <w:sz w:val="15"/>
                <w:szCs w:val="15"/>
              </w:rPr>
            </w:pPr>
          </w:p>
        </w:tc>
        <w:tc>
          <w:tcPr>
            <w:tcW w:w="936" w:type="pct"/>
            <w:tcBorders>
              <w:top w:val="nil"/>
              <w:left w:val="nil"/>
              <w:bottom w:val="single" w:color="auto" w:sz="4" w:space="0"/>
              <w:right w:val="single" w:color="auto" w:sz="4" w:space="0"/>
            </w:tcBorders>
            <w:vAlign w:val="center"/>
          </w:tcPr>
          <w:p w14:paraId="093BC558">
            <w:pPr>
              <w:widowControl/>
              <w:spacing w:line="240" w:lineRule="exact"/>
              <w:jc w:val="center"/>
              <w:rPr>
                <w:rFonts w:hint="eastAsia" w:ascii="等线" w:hAnsi="等线" w:eastAsia="等线" w:cs="等线"/>
                <w:b/>
                <w:bCs/>
                <w:color w:val="000000"/>
                <w:kern w:val="0"/>
                <w:sz w:val="15"/>
                <w:szCs w:val="15"/>
              </w:rPr>
            </w:pPr>
            <w:r>
              <w:rPr>
                <w:rFonts w:hint="eastAsia" w:ascii="等线" w:hAnsi="等线" w:eastAsia="等线" w:cs="等线"/>
                <w:b/>
                <w:bCs/>
                <w:color w:val="000000"/>
                <w:kern w:val="0"/>
                <w:sz w:val="15"/>
                <w:szCs w:val="15"/>
              </w:rPr>
              <w:t>油车拓展座位数、质量尺寸</w:t>
            </w:r>
          </w:p>
          <w:p w14:paraId="4CC229D4">
            <w:pPr>
              <w:widowControl/>
              <w:spacing w:line="240" w:lineRule="exact"/>
              <w:jc w:val="center"/>
              <w:rPr>
                <w:rFonts w:hint="eastAsia" w:ascii="等线" w:hAnsi="等线" w:eastAsia="等线" w:cs="等线"/>
                <w:b/>
                <w:bCs/>
                <w:color w:val="000000"/>
                <w:kern w:val="0"/>
                <w:sz w:val="15"/>
                <w:szCs w:val="15"/>
              </w:rPr>
            </w:pPr>
            <w:r>
              <w:rPr>
                <w:rFonts w:hint="eastAsia" w:ascii="等线" w:hAnsi="等线" w:eastAsia="等线" w:cs="等线"/>
                <w:b/>
                <w:bCs/>
                <w:color w:val="000000"/>
                <w:kern w:val="0"/>
                <w:sz w:val="15"/>
                <w:szCs w:val="15"/>
              </w:rPr>
              <w:t>认证完成时间</w:t>
            </w:r>
          </w:p>
          <w:p w14:paraId="1427107D">
            <w:pPr>
              <w:widowControl/>
              <w:spacing w:line="240" w:lineRule="exact"/>
              <w:jc w:val="center"/>
              <w:rPr>
                <w:rFonts w:hint="eastAsia" w:ascii="等线" w:hAnsi="等线" w:eastAsia="等线" w:cs="等线"/>
                <w:b/>
                <w:bCs/>
                <w:color w:val="000000"/>
                <w:kern w:val="0"/>
                <w:sz w:val="15"/>
                <w:szCs w:val="15"/>
              </w:rPr>
            </w:pPr>
            <w:r>
              <w:rPr>
                <w:rFonts w:hint="eastAsia" w:ascii="等线" w:hAnsi="等线" w:eastAsia="等线" w:cs="等线"/>
                <w:b/>
                <w:bCs/>
                <w:color w:val="000000"/>
                <w:kern w:val="0"/>
                <w:sz w:val="15"/>
                <w:szCs w:val="15"/>
              </w:rPr>
              <w:t>（5分）</w:t>
            </w:r>
          </w:p>
        </w:tc>
        <w:tc>
          <w:tcPr>
            <w:tcW w:w="306" w:type="pct"/>
            <w:tcBorders>
              <w:top w:val="nil"/>
              <w:left w:val="nil"/>
              <w:bottom w:val="single" w:color="auto" w:sz="4" w:space="0"/>
              <w:right w:val="single" w:color="auto" w:sz="4" w:space="0"/>
            </w:tcBorders>
            <w:vAlign w:val="center"/>
          </w:tcPr>
          <w:p w14:paraId="179B8A90">
            <w:pPr>
              <w:widowControl/>
              <w:spacing w:line="240" w:lineRule="exact"/>
              <w:jc w:val="center"/>
              <w:rPr>
                <w:rFonts w:hint="eastAsia" w:ascii="等线" w:hAnsi="等线" w:eastAsia="等线" w:cs="等线"/>
                <w:b/>
                <w:bCs/>
                <w:color w:val="000000"/>
                <w:kern w:val="0"/>
                <w:sz w:val="15"/>
                <w:szCs w:val="15"/>
              </w:rPr>
            </w:pPr>
          </w:p>
        </w:tc>
        <w:tc>
          <w:tcPr>
            <w:tcW w:w="2393" w:type="pct"/>
            <w:tcBorders>
              <w:top w:val="nil"/>
              <w:left w:val="nil"/>
              <w:bottom w:val="single" w:color="auto" w:sz="4" w:space="0"/>
              <w:right w:val="single" w:color="auto" w:sz="4" w:space="0"/>
            </w:tcBorders>
            <w:vAlign w:val="center"/>
          </w:tcPr>
          <w:p w14:paraId="12C1EE01">
            <w:pPr>
              <w:widowControl/>
              <w:spacing w:line="240" w:lineRule="exact"/>
              <w:rPr>
                <w:rFonts w:hint="eastAsia" w:ascii="等线" w:hAnsi="等线" w:eastAsia="等线" w:cs="等线"/>
                <w:b/>
                <w:bCs/>
                <w:color w:val="000000"/>
                <w:kern w:val="0"/>
                <w:sz w:val="15"/>
                <w:szCs w:val="15"/>
              </w:rPr>
            </w:pPr>
            <w:r>
              <w:rPr>
                <w:rFonts w:hint="eastAsia" w:ascii="等线" w:hAnsi="等线" w:eastAsia="等线" w:cs="等线"/>
                <w:b/>
                <w:bCs/>
                <w:color w:val="000000"/>
                <w:kern w:val="0"/>
                <w:sz w:val="15"/>
                <w:szCs w:val="15"/>
              </w:rPr>
              <w:t>自测试通过且技术资料提供之日起, 能保证___天内取得拓展座位数、质量、外观尺寸等GCC认证证书。</w:t>
            </w:r>
          </w:p>
        </w:tc>
        <w:tc>
          <w:tcPr>
            <w:tcW w:w="626" w:type="pct"/>
            <w:vMerge w:val="continue"/>
            <w:tcBorders>
              <w:top w:val="nil"/>
              <w:left w:val="single" w:color="auto" w:sz="4" w:space="0"/>
              <w:bottom w:val="single" w:color="auto" w:sz="4" w:space="0"/>
              <w:right w:val="single" w:color="auto" w:sz="4" w:space="0"/>
            </w:tcBorders>
            <w:vAlign w:val="center"/>
          </w:tcPr>
          <w:p w14:paraId="43FDA7BD">
            <w:pPr>
              <w:widowControl/>
              <w:spacing w:line="240" w:lineRule="exact"/>
              <w:jc w:val="left"/>
              <w:rPr>
                <w:rFonts w:hint="eastAsia" w:ascii="等线" w:hAnsi="等线" w:eastAsia="等线" w:cs="宋体"/>
                <w:color w:val="000000"/>
                <w:kern w:val="0"/>
                <w:sz w:val="15"/>
                <w:szCs w:val="15"/>
              </w:rPr>
            </w:pPr>
          </w:p>
        </w:tc>
      </w:tr>
      <w:tr w14:paraId="3F9D08F8">
        <w:tblPrEx>
          <w:tblCellMar>
            <w:top w:w="0" w:type="dxa"/>
            <w:left w:w="108" w:type="dxa"/>
            <w:bottom w:w="0" w:type="dxa"/>
            <w:right w:w="108" w:type="dxa"/>
          </w:tblCellMar>
        </w:tblPrEx>
        <w:trPr>
          <w:trHeight w:val="720" w:hRule="atLeast"/>
          <w:jc w:val="center"/>
        </w:trPr>
        <w:tc>
          <w:tcPr>
            <w:tcW w:w="203" w:type="pct"/>
            <w:vMerge w:val="continue"/>
            <w:tcBorders>
              <w:top w:val="nil"/>
              <w:left w:val="single" w:color="auto" w:sz="4" w:space="0"/>
              <w:bottom w:val="single" w:color="auto" w:sz="4" w:space="0"/>
              <w:right w:val="single" w:color="auto" w:sz="4" w:space="0"/>
            </w:tcBorders>
            <w:vAlign w:val="center"/>
          </w:tcPr>
          <w:p w14:paraId="61F1926A">
            <w:pPr>
              <w:widowControl/>
              <w:spacing w:line="240" w:lineRule="exact"/>
              <w:jc w:val="left"/>
              <w:rPr>
                <w:rFonts w:hint="eastAsia" w:ascii="等线" w:hAnsi="等线" w:eastAsia="等线" w:cs="等线"/>
                <w:b/>
                <w:bCs/>
                <w:color w:val="000000"/>
                <w:kern w:val="0"/>
                <w:sz w:val="15"/>
                <w:szCs w:val="15"/>
              </w:rPr>
            </w:pPr>
          </w:p>
        </w:tc>
        <w:tc>
          <w:tcPr>
            <w:tcW w:w="533" w:type="pct"/>
            <w:vMerge w:val="continue"/>
            <w:tcBorders>
              <w:top w:val="nil"/>
              <w:left w:val="single" w:color="auto" w:sz="4" w:space="0"/>
              <w:bottom w:val="single" w:color="auto" w:sz="4" w:space="0"/>
              <w:right w:val="single" w:color="auto" w:sz="4" w:space="0"/>
            </w:tcBorders>
            <w:vAlign w:val="center"/>
          </w:tcPr>
          <w:p w14:paraId="7A08B667">
            <w:pPr>
              <w:widowControl/>
              <w:spacing w:line="240" w:lineRule="exact"/>
              <w:jc w:val="left"/>
              <w:rPr>
                <w:rFonts w:hint="eastAsia" w:ascii="等线" w:hAnsi="等线" w:eastAsia="等线" w:cs="等线"/>
                <w:b/>
                <w:bCs/>
                <w:color w:val="000000"/>
                <w:kern w:val="0"/>
                <w:sz w:val="15"/>
                <w:szCs w:val="15"/>
              </w:rPr>
            </w:pPr>
          </w:p>
        </w:tc>
        <w:tc>
          <w:tcPr>
            <w:tcW w:w="936" w:type="pct"/>
            <w:tcBorders>
              <w:top w:val="nil"/>
              <w:left w:val="nil"/>
              <w:bottom w:val="single" w:color="auto" w:sz="4" w:space="0"/>
              <w:right w:val="single" w:color="auto" w:sz="4" w:space="0"/>
            </w:tcBorders>
            <w:vAlign w:val="center"/>
          </w:tcPr>
          <w:p w14:paraId="5F4E1EFA">
            <w:pPr>
              <w:widowControl/>
              <w:spacing w:line="240" w:lineRule="exact"/>
              <w:jc w:val="center"/>
              <w:rPr>
                <w:rFonts w:hint="eastAsia" w:ascii="等线" w:hAnsi="等线" w:eastAsia="等线" w:cs="等线"/>
                <w:b/>
                <w:bCs/>
                <w:color w:val="000000"/>
                <w:kern w:val="0"/>
                <w:sz w:val="15"/>
                <w:szCs w:val="15"/>
              </w:rPr>
            </w:pPr>
            <w:r>
              <w:rPr>
                <w:rFonts w:hint="eastAsia" w:ascii="等线" w:hAnsi="等线" w:eastAsia="等线" w:cs="等线"/>
                <w:b/>
                <w:bCs/>
                <w:color w:val="000000"/>
                <w:kern w:val="0"/>
                <w:sz w:val="15"/>
                <w:szCs w:val="15"/>
              </w:rPr>
              <w:t>油车拓展发动机、变速箱</w:t>
            </w:r>
          </w:p>
          <w:p w14:paraId="440C0DC1">
            <w:pPr>
              <w:widowControl/>
              <w:spacing w:line="240" w:lineRule="exact"/>
              <w:jc w:val="center"/>
              <w:rPr>
                <w:rFonts w:hint="eastAsia" w:ascii="等线" w:hAnsi="等线" w:eastAsia="等线" w:cs="等线"/>
                <w:b/>
                <w:bCs/>
                <w:color w:val="000000"/>
                <w:kern w:val="0"/>
                <w:sz w:val="15"/>
                <w:szCs w:val="15"/>
              </w:rPr>
            </w:pPr>
            <w:r>
              <w:rPr>
                <w:rFonts w:hint="eastAsia" w:ascii="等线" w:hAnsi="等线" w:eastAsia="等线" w:cs="等线"/>
                <w:b/>
                <w:bCs/>
                <w:color w:val="000000"/>
                <w:kern w:val="0"/>
                <w:sz w:val="15"/>
                <w:szCs w:val="15"/>
              </w:rPr>
              <w:t>认证完成时间</w:t>
            </w:r>
          </w:p>
          <w:p w14:paraId="28A2A1AB">
            <w:pPr>
              <w:widowControl/>
              <w:spacing w:line="240" w:lineRule="exact"/>
              <w:jc w:val="center"/>
              <w:rPr>
                <w:rFonts w:hint="eastAsia" w:ascii="等线" w:hAnsi="等线" w:eastAsia="等线" w:cs="等线"/>
                <w:b/>
                <w:bCs/>
                <w:color w:val="000000"/>
                <w:kern w:val="0"/>
                <w:sz w:val="15"/>
                <w:szCs w:val="15"/>
              </w:rPr>
            </w:pPr>
            <w:r>
              <w:rPr>
                <w:rFonts w:hint="eastAsia" w:ascii="等线" w:hAnsi="等线" w:eastAsia="等线" w:cs="等线"/>
                <w:b/>
                <w:bCs/>
                <w:color w:val="000000"/>
                <w:kern w:val="0"/>
                <w:sz w:val="15"/>
                <w:szCs w:val="15"/>
              </w:rPr>
              <w:t>（10分）</w:t>
            </w:r>
          </w:p>
        </w:tc>
        <w:tc>
          <w:tcPr>
            <w:tcW w:w="306" w:type="pct"/>
            <w:tcBorders>
              <w:top w:val="nil"/>
              <w:left w:val="nil"/>
              <w:bottom w:val="single" w:color="auto" w:sz="4" w:space="0"/>
              <w:right w:val="single" w:color="auto" w:sz="4" w:space="0"/>
            </w:tcBorders>
            <w:vAlign w:val="center"/>
          </w:tcPr>
          <w:p w14:paraId="4E71E58E">
            <w:pPr>
              <w:widowControl/>
              <w:spacing w:line="240" w:lineRule="exact"/>
              <w:jc w:val="center"/>
              <w:rPr>
                <w:rFonts w:hint="eastAsia" w:ascii="等线" w:hAnsi="等线" w:eastAsia="等线" w:cs="等线"/>
                <w:b/>
                <w:bCs/>
                <w:color w:val="000000"/>
                <w:kern w:val="0"/>
                <w:sz w:val="15"/>
                <w:szCs w:val="15"/>
              </w:rPr>
            </w:pPr>
          </w:p>
        </w:tc>
        <w:tc>
          <w:tcPr>
            <w:tcW w:w="2393" w:type="pct"/>
            <w:tcBorders>
              <w:top w:val="nil"/>
              <w:left w:val="nil"/>
              <w:bottom w:val="single" w:color="auto" w:sz="4" w:space="0"/>
              <w:right w:val="single" w:color="auto" w:sz="4" w:space="0"/>
            </w:tcBorders>
            <w:vAlign w:val="center"/>
          </w:tcPr>
          <w:p w14:paraId="40CDA3D3">
            <w:pPr>
              <w:widowControl/>
              <w:spacing w:line="240" w:lineRule="exact"/>
              <w:rPr>
                <w:rFonts w:hint="eastAsia" w:ascii="等线" w:hAnsi="等线" w:eastAsia="等线" w:cs="等线"/>
                <w:b/>
                <w:bCs/>
                <w:color w:val="000000"/>
                <w:kern w:val="0"/>
                <w:sz w:val="15"/>
                <w:szCs w:val="15"/>
              </w:rPr>
            </w:pPr>
            <w:r>
              <w:rPr>
                <w:rFonts w:hint="eastAsia" w:ascii="等线" w:hAnsi="等线" w:eastAsia="等线" w:cs="等线"/>
                <w:b/>
                <w:bCs/>
                <w:color w:val="000000"/>
                <w:kern w:val="0"/>
                <w:sz w:val="15"/>
                <w:szCs w:val="15"/>
              </w:rPr>
              <w:t>自测试通过且技术资料提供之日起, 能保证___天内取得拓展发动机、变速箱等GCC认证证书。</w:t>
            </w:r>
          </w:p>
        </w:tc>
        <w:tc>
          <w:tcPr>
            <w:tcW w:w="626" w:type="pct"/>
            <w:vMerge w:val="continue"/>
            <w:tcBorders>
              <w:top w:val="nil"/>
              <w:left w:val="single" w:color="auto" w:sz="4" w:space="0"/>
              <w:bottom w:val="single" w:color="auto" w:sz="4" w:space="0"/>
              <w:right w:val="single" w:color="auto" w:sz="4" w:space="0"/>
            </w:tcBorders>
            <w:vAlign w:val="center"/>
          </w:tcPr>
          <w:p w14:paraId="6C5FDC12">
            <w:pPr>
              <w:widowControl/>
              <w:spacing w:line="240" w:lineRule="exact"/>
              <w:jc w:val="left"/>
              <w:rPr>
                <w:rFonts w:hint="eastAsia" w:ascii="等线" w:hAnsi="等线" w:eastAsia="等线" w:cs="宋体"/>
                <w:color w:val="000000"/>
                <w:kern w:val="0"/>
                <w:sz w:val="15"/>
                <w:szCs w:val="15"/>
              </w:rPr>
            </w:pPr>
          </w:p>
        </w:tc>
      </w:tr>
      <w:tr w14:paraId="7762820F">
        <w:tblPrEx>
          <w:tblCellMar>
            <w:top w:w="0" w:type="dxa"/>
            <w:left w:w="108" w:type="dxa"/>
            <w:bottom w:w="0" w:type="dxa"/>
            <w:right w:w="108" w:type="dxa"/>
          </w:tblCellMar>
        </w:tblPrEx>
        <w:trPr>
          <w:trHeight w:val="720" w:hRule="atLeast"/>
          <w:jc w:val="center"/>
        </w:trPr>
        <w:tc>
          <w:tcPr>
            <w:tcW w:w="203" w:type="pct"/>
            <w:vMerge w:val="continue"/>
            <w:tcBorders>
              <w:top w:val="nil"/>
              <w:left w:val="single" w:color="auto" w:sz="4" w:space="0"/>
              <w:bottom w:val="single" w:color="auto" w:sz="4" w:space="0"/>
              <w:right w:val="single" w:color="auto" w:sz="4" w:space="0"/>
            </w:tcBorders>
            <w:vAlign w:val="center"/>
          </w:tcPr>
          <w:p w14:paraId="227F2882">
            <w:pPr>
              <w:widowControl/>
              <w:spacing w:line="240" w:lineRule="exact"/>
              <w:jc w:val="left"/>
              <w:rPr>
                <w:rFonts w:hint="eastAsia" w:ascii="等线" w:hAnsi="等线" w:eastAsia="等线" w:cs="等线"/>
                <w:b/>
                <w:bCs/>
                <w:color w:val="000000"/>
                <w:kern w:val="0"/>
                <w:sz w:val="15"/>
                <w:szCs w:val="15"/>
              </w:rPr>
            </w:pPr>
          </w:p>
        </w:tc>
        <w:tc>
          <w:tcPr>
            <w:tcW w:w="533" w:type="pct"/>
            <w:vMerge w:val="continue"/>
            <w:tcBorders>
              <w:top w:val="nil"/>
              <w:left w:val="single" w:color="auto" w:sz="4" w:space="0"/>
              <w:bottom w:val="single" w:color="auto" w:sz="4" w:space="0"/>
              <w:right w:val="single" w:color="auto" w:sz="4" w:space="0"/>
            </w:tcBorders>
            <w:vAlign w:val="center"/>
          </w:tcPr>
          <w:p w14:paraId="4785B9F4">
            <w:pPr>
              <w:widowControl/>
              <w:spacing w:line="240" w:lineRule="exact"/>
              <w:jc w:val="left"/>
              <w:rPr>
                <w:rFonts w:hint="eastAsia" w:ascii="等线" w:hAnsi="等线" w:eastAsia="等线" w:cs="等线"/>
                <w:b/>
                <w:bCs/>
                <w:color w:val="000000"/>
                <w:kern w:val="0"/>
                <w:sz w:val="15"/>
                <w:szCs w:val="15"/>
              </w:rPr>
            </w:pPr>
          </w:p>
        </w:tc>
        <w:tc>
          <w:tcPr>
            <w:tcW w:w="936" w:type="pct"/>
            <w:tcBorders>
              <w:top w:val="nil"/>
              <w:left w:val="nil"/>
              <w:bottom w:val="single" w:color="auto" w:sz="4" w:space="0"/>
              <w:right w:val="single" w:color="auto" w:sz="4" w:space="0"/>
            </w:tcBorders>
            <w:vAlign w:val="center"/>
          </w:tcPr>
          <w:p w14:paraId="3A17C005">
            <w:pPr>
              <w:widowControl/>
              <w:spacing w:line="240" w:lineRule="exact"/>
              <w:jc w:val="center"/>
              <w:rPr>
                <w:rFonts w:hint="eastAsia" w:ascii="等线" w:hAnsi="等线" w:eastAsia="等线" w:cs="等线"/>
                <w:b/>
                <w:bCs/>
                <w:color w:val="000000"/>
                <w:kern w:val="0"/>
                <w:sz w:val="15"/>
                <w:szCs w:val="15"/>
              </w:rPr>
            </w:pPr>
            <w:r>
              <w:rPr>
                <w:rFonts w:hint="eastAsia" w:ascii="等线" w:hAnsi="等线" w:eastAsia="等线" w:cs="等线"/>
                <w:b/>
                <w:bCs/>
                <w:color w:val="000000"/>
                <w:kern w:val="0"/>
                <w:sz w:val="15"/>
                <w:szCs w:val="15"/>
              </w:rPr>
              <w:t>油车拓展发动机、变速箱</w:t>
            </w:r>
          </w:p>
          <w:p w14:paraId="4F57717E">
            <w:pPr>
              <w:widowControl/>
              <w:spacing w:line="240" w:lineRule="exact"/>
              <w:jc w:val="center"/>
              <w:rPr>
                <w:rFonts w:hint="eastAsia" w:ascii="等线" w:hAnsi="等线" w:eastAsia="等线" w:cs="等线"/>
                <w:b/>
                <w:bCs/>
                <w:color w:val="000000"/>
                <w:kern w:val="0"/>
                <w:sz w:val="15"/>
                <w:szCs w:val="15"/>
              </w:rPr>
            </w:pPr>
            <w:r>
              <w:rPr>
                <w:rFonts w:hint="eastAsia" w:ascii="等线" w:hAnsi="等线" w:eastAsia="等线" w:cs="等线"/>
                <w:b/>
                <w:bCs/>
                <w:color w:val="000000"/>
                <w:kern w:val="0"/>
                <w:sz w:val="15"/>
                <w:szCs w:val="15"/>
              </w:rPr>
              <w:t>的报告数量（5分）</w:t>
            </w:r>
          </w:p>
        </w:tc>
        <w:tc>
          <w:tcPr>
            <w:tcW w:w="306" w:type="pct"/>
            <w:tcBorders>
              <w:top w:val="nil"/>
              <w:left w:val="nil"/>
              <w:bottom w:val="single" w:color="auto" w:sz="4" w:space="0"/>
              <w:right w:val="single" w:color="auto" w:sz="4" w:space="0"/>
            </w:tcBorders>
            <w:vAlign w:val="center"/>
          </w:tcPr>
          <w:p w14:paraId="0E16291F">
            <w:pPr>
              <w:widowControl/>
              <w:spacing w:line="240" w:lineRule="exact"/>
              <w:jc w:val="center"/>
              <w:rPr>
                <w:rFonts w:hint="eastAsia" w:ascii="等线" w:hAnsi="等线" w:eastAsia="等线" w:cs="等线"/>
                <w:b/>
                <w:bCs/>
                <w:color w:val="000000"/>
                <w:kern w:val="0"/>
                <w:sz w:val="15"/>
                <w:szCs w:val="15"/>
              </w:rPr>
            </w:pPr>
          </w:p>
        </w:tc>
        <w:tc>
          <w:tcPr>
            <w:tcW w:w="2393" w:type="pct"/>
            <w:tcBorders>
              <w:top w:val="nil"/>
              <w:left w:val="nil"/>
              <w:bottom w:val="single" w:color="auto" w:sz="4" w:space="0"/>
              <w:right w:val="single" w:color="auto" w:sz="4" w:space="0"/>
            </w:tcBorders>
            <w:vAlign w:val="center"/>
          </w:tcPr>
          <w:p w14:paraId="64CE7BBC">
            <w:pPr>
              <w:widowControl/>
              <w:spacing w:line="240" w:lineRule="exact"/>
              <w:rPr>
                <w:rFonts w:hint="eastAsia" w:ascii="等线" w:hAnsi="等线" w:eastAsia="等线" w:cs="等线"/>
                <w:b/>
                <w:bCs/>
                <w:color w:val="000000"/>
                <w:kern w:val="0"/>
                <w:sz w:val="15"/>
                <w:szCs w:val="15"/>
              </w:rPr>
            </w:pPr>
            <w:r>
              <w:rPr>
                <w:rFonts w:hint="eastAsia" w:ascii="等线" w:hAnsi="等线" w:eastAsia="等线" w:cs="等线"/>
                <w:b/>
                <w:bCs/>
                <w:color w:val="000000"/>
                <w:kern w:val="0"/>
                <w:sz w:val="15"/>
                <w:szCs w:val="15"/>
              </w:rPr>
              <w:t>油车拓展发动机、变速箱打包项目总的提供___份报告。</w:t>
            </w:r>
          </w:p>
        </w:tc>
        <w:tc>
          <w:tcPr>
            <w:tcW w:w="626" w:type="pct"/>
            <w:vMerge w:val="continue"/>
            <w:tcBorders>
              <w:top w:val="nil"/>
              <w:left w:val="single" w:color="auto" w:sz="4" w:space="0"/>
              <w:bottom w:val="single" w:color="auto" w:sz="4" w:space="0"/>
              <w:right w:val="single" w:color="auto" w:sz="4" w:space="0"/>
            </w:tcBorders>
            <w:vAlign w:val="center"/>
          </w:tcPr>
          <w:p w14:paraId="0C51EB8A">
            <w:pPr>
              <w:widowControl/>
              <w:spacing w:line="240" w:lineRule="exact"/>
              <w:jc w:val="left"/>
              <w:rPr>
                <w:rFonts w:hint="eastAsia" w:ascii="等线" w:hAnsi="等线" w:eastAsia="等线" w:cs="宋体"/>
                <w:color w:val="000000"/>
                <w:kern w:val="0"/>
                <w:sz w:val="15"/>
                <w:szCs w:val="15"/>
              </w:rPr>
            </w:pPr>
          </w:p>
        </w:tc>
      </w:tr>
      <w:tr w14:paraId="4F0650C4">
        <w:tblPrEx>
          <w:tblCellMar>
            <w:top w:w="0" w:type="dxa"/>
            <w:left w:w="108" w:type="dxa"/>
            <w:bottom w:w="0" w:type="dxa"/>
            <w:right w:w="108" w:type="dxa"/>
          </w:tblCellMar>
        </w:tblPrEx>
        <w:trPr>
          <w:trHeight w:val="178" w:hRule="atLeast"/>
          <w:jc w:val="center"/>
        </w:trPr>
        <w:tc>
          <w:tcPr>
            <w:tcW w:w="203" w:type="pct"/>
            <w:vMerge w:val="continue"/>
            <w:tcBorders>
              <w:top w:val="nil"/>
              <w:left w:val="single" w:color="auto" w:sz="4" w:space="0"/>
              <w:bottom w:val="single" w:color="auto" w:sz="4" w:space="0"/>
              <w:right w:val="single" w:color="auto" w:sz="4" w:space="0"/>
            </w:tcBorders>
            <w:vAlign w:val="center"/>
          </w:tcPr>
          <w:p w14:paraId="4C3E0555">
            <w:pPr>
              <w:widowControl/>
              <w:spacing w:line="240" w:lineRule="exact"/>
              <w:jc w:val="left"/>
              <w:rPr>
                <w:rFonts w:hint="eastAsia" w:ascii="等线" w:hAnsi="等线" w:eastAsia="等线" w:cs="等线"/>
                <w:b/>
                <w:bCs/>
                <w:color w:val="000000"/>
                <w:kern w:val="0"/>
                <w:sz w:val="15"/>
                <w:szCs w:val="15"/>
              </w:rPr>
            </w:pPr>
          </w:p>
        </w:tc>
        <w:tc>
          <w:tcPr>
            <w:tcW w:w="533" w:type="pct"/>
            <w:vMerge w:val="continue"/>
            <w:tcBorders>
              <w:top w:val="nil"/>
              <w:left w:val="single" w:color="auto" w:sz="4" w:space="0"/>
              <w:bottom w:val="single" w:color="auto" w:sz="4" w:space="0"/>
              <w:right w:val="single" w:color="auto" w:sz="4" w:space="0"/>
            </w:tcBorders>
            <w:vAlign w:val="center"/>
          </w:tcPr>
          <w:p w14:paraId="245C681C">
            <w:pPr>
              <w:widowControl/>
              <w:spacing w:line="240" w:lineRule="exact"/>
              <w:jc w:val="left"/>
              <w:rPr>
                <w:rFonts w:hint="eastAsia" w:ascii="等线" w:hAnsi="等线" w:eastAsia="等线" w:cs="等线"/>
                <w:b/>
                <w:bCs/>
                <w:color w:val="000000"/>
                <w:kern w:val="0"/>
                <w:sz w:val="15"/>
                <w:szCs w:val="15"/>
              </w:rPr>
            </w:pPr>
          </w:p>
        </w:tc>
        <w:tc>
          <w:tcPr>
            <w:tcW w:w="936" w:type="pct"/>
            <w:tcBorders>
              <w:top w:val="nil"/>
              <w:left w:val="nil"/>
              <w:bottom w:val="single" w:color="auto" w:sz="4" w:space="0"/>
              <w:right w:val="single" w:color="auto" w:sz="4" w:space="0"/>
            </w:tcBorders>
            <w:vAlign w:val="center"/>
          </w:tcPr>
          <w:p w14:paraId="188A48BD">
            <w:pPr>
              <w:widowControl/>
              <w:spacing w:line="240" w:lineRule="exact"/>
              <w:jc w:val="center"/>
              <w:rPr>
                <w:rFonts w:hint="eastAsia" w:ascii="等线" w:hAnsi="等线" w:eastAsia="等线" w:cs="等线"/>
                <w:b/>
                <w:bCs/>
                <w:color w:val="000000"/>
                <w:kern w:val="0"/>
                <w:sz w:val="15"/>
                <w:szCs w:val="15"/>
              </w:rPr>
            </w:pPr>
            <w:r>
              <w:rPr>
                <w:rFonts w:hint="eastAsia" w:ascii="等线" w:hAnsi="等线" w:eastAsia="等线" w:cs="等线"/>
                <w:b/>
                <w:bCs/>
                <w:color w:val="000000"/>
                <w:kern w:val="0"/>
                <w:sz w:val="15"/>
                <w:szCs w:val="15"/>
              </w:rPr>
              <w:t>油车换证完成时间</w:t>
            </w:r>
          </w:p>
          <w:p w14:paraId="568A4E2C">
            <w:pPr>
              <w:widowControl/>
              <w:spacing w:line="240" w:lineRule="exact"/>
              <w:jc w:val="center"/>
              <w:rPr>
                <w:rFonts w:hint="eastAsia" w:ascii="等线" w:hAnsi="等线" w:eastAsia="等线" w:cs="等线"/>
                <w:b/>
                <w:bCs/>
                <w:color w:val="000000"/>
                <w:kern w:val="0"/>
                <w:sz w:val="15"/>
                <w:szCs w:val="15"/>
              </w:rPr>
            </w:pPr>
            <w:r>
              <w:rPr>
                <w:rFonts w:hint="eastAsia" w:ascii="等线" w:hAnsi="等线" w:eastAsia="等线" w:cs="等线"/>
                <w:b/>
                <w:bCs/>
                <w:color w:val="000000"/>
                <w:kern w:val="0"/>
                <w:sz w:val="15"/>
                <w:szCs w:val="15"/>
              </w:rPr>
              <w:t>（5分）</w:t>
            </w:r>
          </w:p>
        </w:tc>
        <w:tc>
          <w:tcPr>
            <w:tcW w:w="306" w:type="pct"/>
            <w:tcBorders>
              <w:top w:val="nil"/>
              <w:left w:val="nil"/>
              <w:bottom w:val="single" w:color="auto" w:sz="4" w:space="0"/>
              <w:right w:val="single" w:color="auto" w:sz="4" w:space="0"/>
            </w:tcBorders>
            <w:vAlign w:val="center"/>
          </w:tcPr>
          <w:p w14:paraId="791DE7F8">
            <w:pPr>
              <w:widowControl/>
              <w:spacing w:line="240" w:lineRule="exact"/>
              <w:jc w:val="center"/>
              <w:rPr>
                <w:rFonts w:hint="eastAsia" w:ascii="等线" w:hAnsi="等线" w:eastAsia="等线" w:cs="等线"/>
                <w:b/>
                <w:bCs/>
                <w:color w:val="000000"/>
                <w:kern w:val="0"/>
                <w:sz w:val="15"/>
                <w:szCs w:val="15"/>
              </w:rPr>
            </w:pPr>
          </w:p>
        </w:tc>
        <w:tc>
          <w:tcPr>
            <w:tcW w:w="2393" w:type="pct"/>
            <w:tcBorders>
              <w:top w:val="nil"/>
              <w:left w:val="nil"/>
              <w:bottom w:val="single" w:color="auto" w:sz="4" w:space="0"/>
              <w:right w:val="single" w:color="auto" w:sz="4" w:space="0"/>
            </w:tcBorders>
            <w:vAlign w:val="center"/>
          </w:tcPr>
          <w:p w14:paraId="2212DF1A">
            <w:pPr>
              <w:widowControl/>
              <w:spacing w:line="240" w:lineRule="exact"/>
              <w:rPr>
                <w:rFonts w:hint="eastAsia" w:ascii="等线" w:hAnsi="等线" w:eastAsia="等线" w:cs="等线"/>
                <w:b/>
                <w:bCs/>
                <w:color w:val="000000"/>
                <w:kern w:val="0"/>
                <w:sz w:val="15"/>
                <w:szCs w:val="15"/>
              </w:rPr>
            </w:pPr>
            <w:r>
              <w:rPr>
                <w:rFonts w:hint="eastAsia" w:ascii="等线" w:hAnsi="等线" w:eastAsia="等线" w:cs="等线"/>
                <w:b/>
                <w:bCs/>
                <w:color w:val="000000"/>
                <w:kern w:val="0"/>
                <w:sz w:val="15"/>
                <w:szCs w:val="15"/>
              </w:rPr>
              <w:t>自技术资料提供之日起, 能保证___天内取得GCC换证认证证书。</w:t>
            </w:r>
          </w:p>
        </w:tc>
        <w:tc>
          <w:tcPr>
            <w:tcW w:w="626" w:type="pct"/>
            <w:vMerge w:val="continue"/>
            <w:tcBorders>
              <w:top w:val="nil"/>
              <w:left w:val="single" w:color="auto" w:sz="4" w:space="0"/>
              <w:bottom w:val="single" w:color="auto" w:sz="4" w:space="0"/>
              <w:right w:val="single" w:color="auto" w:sz="4" w:space="0"/>
            </w:tcBorders>
            <w:vAlign w:val="center"/>
          </w:tcPr>
          <w:p w14:paraId="212BFD22">
            <w:pPr>
              <w:widowControl/>
              <w:spacing w:line="240" w:lineRule="exact"/>
              <w:jc w:val="left"/>
              <w:rPr>
                <w:rFonts w:hint="eastAsia" w:ascii="等线" w:hAnsi="等线" w:eastAsia="等线" w:cs="宋体"/>
                <w:color w:val="000000"/>
                <w:kern w:val="0"/>
                <w:sz w:val="15"/>
                <w:szCs w:val="15"/>
              </w:rPr>
            </w:pPr>
          </w:p>
        </w:tc>
      </w:tr>
      <w:tr w14:paraId="02D99106">
        <w:tblPrEx>
          <w:tblCellMar>
            <w:top w:w="0" w:type="dxa"/>
            <w:left w:w="108" w:type="dxa"/>
            <w:bottom w:w="0" w:type="dxa"/>
            <w:right w:w="108" w:type="dxa"/>
          </w:tblCellMar>
        </w:tblPrEx>
        <w:trPr>
          <w:trHeight w:val="785" w:hRule="atLeast"/>
          <w:jc w:val="center"/>
        </w:trPr>
        <w:tc>
          <w:tcPr>
            <w:tcW w:w="203" w:type="pct"/>
            <w:vMerge w:val="continue"/>
            <w:tcBorders>
              <w:top w:val="nil"/>
              <w:left w:val="single" w:color="auto" w:sz="4" w:space="0"/>
              <w:bottom w:val="single" w:color="auto" w:sz="4" w:space="0"/>
              <w:right w:val="single" w:color="auto" w:sz="4" w:space="0"/>
            </w:tcBorders>
            <w:vAlign w:val="center"/>
          </w:tcPr>
          <w:p w14:paraId="0B820CF0">
            <w:pPr>
              <w:widowControl/>
              <w:spacing w:line="240" w:lineRule="exact"/>
              <w:jc w:val="left"/>
              <w:rPr>
                <w:rFonts w:hint="eastAsia" w:ascii="等线" w:hAnsi="等线" w:eastAsia="等线" w:cs="等线"/>
                <w:b/>
                <w:bCs/>
                <w:color w:val="000000"/>
                <w:kern w:val="0"/>
                <w:sz w:val="15"/>
                <w:szCs w:val="15"/>
              </w:rPr>
            </w:pPr>
          </w:p>
        </w:tc>
        <w:tc>
          <w:tcPr>
            <w:tcW w:w="533" w:type="pct"/>
            <w:vMerge w:val="continue"/>
            <w:tcBorders>
              <w:top w:val="nil"/>
              <w:left w:val="single" w:color="auto" w:sz="4" w:space="0"/>
              <w:bottom w:val="single" w:color="auto" w:sz="4" w:space="0"/>
              <w:right w:val="single" w:color="auto" w:sz="4" w:space="0"/>
            </w:tcBorders>
            <w:vAlign w:val="center"/>
          </w:tcPr>
          <w:p w14:paraId="3B47DBF2">
            <w:pPr>
              <w:widowControl/>
              <w:spacing w:line="240" w:lineRule="exact"/>
              <w:jc w:val="left"/>
              <w:rPr>
                <w:rFonts w:hint="eastAsia" w:ascii="等线" w:hAnsi="等线" w:eastAsia="等线" w:cs="等线"/>
                <w:b/>
                <w:bCs/>
                <w:color w:val="000000"/>
                <w:kern w:val="0"/>
                <w:sz w:val="15"/>
                <w:szCs w:val="15"/>
              </w:rPr>
            </w:pPr>
          </w:p>
        </w:tc>
        <w:tc>
          <w:tcPr>
            <w:tcW w:w="936" w:type="pct"/>
            <w:tcBorders>
              <w:top w:val="nil"/>
              <w:left w:val="nil"/>
              <w:bottom w:val="single" w:color="auto" w:sz="4" w:space="0"/>
              <w:right w:val="single" w:color="auto" w:sz="4" w:space="0"/>
            </w:tcBorders>
            <w:vAlign w:val="center"/>
          </w:tcPr>
          <w:p w14:paraId="7A4EE88F">
            <w:pPr>
              <w:widowControl/>
              <w:spacing w:line="240" w:lineRule="exact"/>
              <w:jc w:val="center"/>
              <w:rPr>
                <w:rFonts w:hint="eastAsia" w:ascii="等线" w:hAnsi="等线" w:eastAsia="等线" w:cs="等线"/>
                <w:b/>
                <w:bCs/>
                <w:color w:val="000000"/>
                <w:kern w:val="0"/>
                <w:sz w:val="15"/>
                <w:szCs w:val="15"/>
              </w:rPr>
            </w:pPr>
            <w:r>
              <w:rPr>
                <w:rFonts w:hint="eastAsia" w:ascii="等线" w:hAnsi="等线" w:eastAsia="等线" w:cs="等线"/>
                <w:b/>
                <w:bCs/>
                <w:color w:val="000000"/>
                <w:kern w:val="0"/>
                <w:sz w:val="15"/>
                <w:szCs w:val="15"/>
              </w:rPr>
              <w:t>电车新车型SASO认证</w:t>
            </w:r>
          </w:p>
          <w:p w14:paraId="08778AF4">
            <w:pPr>
              <w:widowControl/>
              <w:spacing w:line="240" w:lineRule="exact"/>
              <w:jc w:val="center"/>
              <w:rPr>
                <w:rFonts w:hint="eastAsia" w:ascii="等线" w:hAnsi="等线" w:eastAsia="等线" w:cs="等线"/>
                <w:b/>
                <w:bCs/>
                <w:color w:val="000000"/>
                <w:kern w:val="0"/>
                <w:sz w:val="15"/>
                <w:szCs w:val="15"/>
              </w:rPr>
            </w:pPr>
            <w:r>
              <w:rPr>
                <w:rFonts w:hint="eastAsia" w:ascii="等线" w:hAnsi="等线" w:eastAsia="等线" w:cs="等线"/>
                <w:b/>
                <w:bCs/>
                <w:color w:val="000000"/>
                <w:kern w:val="0"/>
                <w:sz w:val="15"/>
                <w:szCs w:val="15"/>
              </w:rPr>
              <w:t>完成时间（10分）</w:t>
            </w:r>
          </w:p>
        </w:tc>
        <w:tc>
          <w:tcPr>
            <w:tcW w:w="306" w:type="pct"/>
            <w:tcBorders>
              <w:top w:val="nil"/>
              <w:left w:val="nil"/>
              <w:bottom w:val="single" w:color="auto" w:sz="4" w:space="0"/>
              <w:right w:val="single" w:color="auto" w:sz="4" w:space="0"/>
            </w:tcBorders>
            <w:vAlign w:val="center"/>
          </w:tcPr>
          <w:p w14:paraId="3A5CC9FA">
            <w:pPr>
              <w:widowControl/>
              <w:spacing w:line="240" w:lineRule="exact"/>
              <w:jc w:val="center"/>
              <w:rPr>
                <w:rFonts w:hint="eastAsia" w:ascii="等线" w:hAnsi="等线" w:eastAsia="等线" w:cs="等线"/>
                <w:b/>
                <w:bCs/>
                <w:color w:val="000000"/>
                <w:kern w:val="0"/>
                <w:sz w:val="15"/>
                <w:szCs w:val="15"/>
              </w:rPr>
            </w:pPr>
          </w:p>
        </w:tc>
        <w:tc>
          <w:tcPr>
            <w:tcW w:w="2393" w:type="pct"/>
            <w:tcBorders>
              <w:top w:val="nil"/>
              <w:left w:val="nil"/>
              <w:bottom w:val="single" w:color="auto" w:sz="4" w:space="0"/>
              <w:right w:val="single" w:color="auto" w:sz="4" w:space="0"/>
            </w:tcBorders>
            <w:vAlign w:val="center"/>
          </w:tcPr>
          <w:p w14:paraId="13C537FB">
            <w:pPr>
              <w:widowControl/>
              <w:spacing w:line="240" w:lineRule="exact"/>
              <w:rPr>
                <w:rFonts w:hint="eastAsia" w:ascii="等线" w:hAnsi="等线" w:eastAsia="等线" w:cs="等线"/>
                <w:b/>
                <w:bCs/>
                <w:color w:val="000000"/>
                <w:kern w:val="0"/>
                <w:sz w:val="15"/>
                <w:szCs w:val="15"/>
              </w:rPr>
            </w:pPr>
            <w:r>
              <w:rPr>
                <w:rFonts w:hint="eastAsia" w:ascii="等线" w:hAnsi="等线" w:eastAsia="等线" w:cs="等线"/>
                <w:b/>
                <w:bCs/>
                <w:color w:val="000000"/>
                <w:kern w:val="0"/>
                <w:sz w:val="15"/>
                <w:szCs w:val="15"/>
              </w:rPr>
              <w:t>自目击通过且技术资料提供之日起, 能保证___天内取得SASO新车型认证证书。</w:t>
            </w:r>
          </w:p>
        </w:tc>
        <w:tc>
          <w:tcPr>
            <w:tcW w:w="626" w:type="pct"/>
            <w:vMerge w:val="continue"/>
            <w:tcBorders>
              <w:top w:val="nil"/>
              <w:left w:val="single" w:color="auto" w:sz="4" w:space="0"/>
              <w:bottom w:val="single" w:color="auto" w:sz="4" w:space="0"/>
              <w:right w:val="single" w:color="auto" w:sz="4" w:space="0"/>
            </w:tcBorders>
            <w:vAlign w:val="center"/>
          </w:tcPr>
          <w:p w14:paraId="12CE11B7">
            <w:pPr>
              <w:widowControl/>
              <w:spacing w:line="240" w:lineRule="exact"/>
              <w:jc w:val="left"/>
              <w:rPr>
                <w:rFonts w:hint="eastAsia" w:ascii="等线" w:hAnsi="等线" w:eastAsia="等线" w:cs="宋体"/>
                <w:color w:val="000000"/>
                <w:kern w:val="0"/>
                <w:sz w:val="15"/>
                <w:szCs w:val="15"/>
              </w:rPr>
            </w:pPr>
          </w:p>
        </w:tc>
      </w:tr>
      <w:tr w14:paraId="59522A91">
        <w:tblPrEx>
          <w:tblCellMar>
            <w:top w:w="0" w:type="dxa"/>
            <w:left w:w="108" w:type="dxa"/>
            <w:bottom w:w="0" w:type="dxa"/>
            <w:right w:w="108" w:type="dxa"/>
          </w:tblCellMar>
        </w:tblPrEx>
        <w:trPr>
          <w:trHeight w:val="720" w:hRule="atLeast"/>
          <w:jc w:val="center"/>
        </w:trPr>
        <w:tc>
          <w:tcPr>
            <w:tcW w:w="203" w:type="pct"/>
            <w:vMerge w:val="continue"/>
            <w:tcBorders>
              <w:top w:val="nil"/>
              <w:left w:val="single" w:color="auto" w:sz="4" w:space="0"/>
              <w:bottom w:val="single" w:color="auto" w:sz="4" w:space="0"/>
              <w:right w:val="single" w:color="auto" w:sz="4" w:space="0"/>
            </w:tcBorders>
            <w:vAlign w:val="center"/>
          </w:tcPr>
          <w:p w14:paraId="56898DD8">
            <w:pPr>
              <w:widowControl/>
              <w:spacing w:line="240" w:lineRule="exact"/>
              <w:jc w:val="left"/>
              <w:rPr>
                <w:rFonts w:hint="eastAsia" w:ascii="等线" w:hAnsi="等线" w:eastAsia="等线" w:cs="等线"/>
                <w:b/>
                <w:bCs/>
                <w:color w:val="000000"/>
                <w:kern w:val="0"/>
                <w:sz w:val="15"/>
                <w:szCs w:val="15"/>
              </w:rPr>
            </w:pPr>
          </w:p>
        </w:tc>
        <w:tc>
          <w:tcPr>
            <w:tcW w:w="533" w:type="pct"/>
            <w:vMerge w:val="continue"/>
            <w:tcBorders>
              <w:top w:val="nil"/>
              <w:left w:val="single" w:color="auto" w:sz="4" w:space="0"/>
              <w:bottom w:val="single" w:color="auto" w:sz="4" w:space="0"/>
              <w:right w:val="single" w:color="auto" w:sz="4" w:space="0"/>
            </w:tcBorders>
            <w:vAlign w:val="center"/>
          </w:tcPr>
          <w:p w14:paraId="5D9FFFA5">
            <w:pPr>
              <w:widowControl/>
              <w:spacing w:line="240" w:lineRule="exact"/>
              <w:jc w:val="left"/>
              <w:rPr>
                <w:rFonts w:hint="eastAsia" w:ascii="等线" w:hAnsi="等线" w:eastAsia="等线" w:cs="等线"/>
                <w:b/>
                <w:bCs/>
                <w:color w:val="000000"/>
                <w:kern w:val="0"/>
                <w:sz w:val="15"/>
                <w:szCs w:val="15"/>
              </w:rPr>
            </w:pPr>
          </w:p>
        </w:tc>
        <w:tc>
          <w:tcPr>
            <w:tcW w:w="936" w:type="pct"/>
            <w:tcBorders>
              <w:top w:val="nil"/>
              <w:left w:val="nil"/>
              <w:bottom w:val="single" w:color="auto" w:sz="4" w:space="0"/>
              <w:right w:val="single" w:color="auto" w:sz="4" w:space="0"/>
            </w:tcBorders>
            <w:vAlign w:val="center"/>
          </w:tcPr>
          <w:p w14:paraId="5B195B5C">
            <w:pPr>
              <w:widowControl/>
              <w:spacing w:line="240" w:lineRule="exact"/>
              <w:jc w:val="center"/>
              <w:rPr>
                <w:rFonts w:hint="eastAsia" w:ascii="等线" w:hAnsi="等线" w:eastAsia="等线" w:cs="等线"/>
                <w:b/>
                <w:bCs/>
                <w:color w:val="000000"/>
                <w:kern w:val="0"/>
                <w:sz w:val="15"/>
                <w:szCs w:val="15"/>
              </w:rPr>
            </w:pPr>
            <w:r>
              <w:rPr>
                <w:rFonts w:hint="eastAsia" w:ascii="等线" w:hAnsi="等线" w:eastAsia="等线" w:cs="等线"/>
                <w:b/>
                <w:bCs/>
                <w:color w:val="000000"/>
                <w:kern w:val="0"/>
                <w:sz w:val="15"/>
                <w:szCs w:val="15"/>
              </w:rPr>
              <w:t>电车新车型GCC、MOIAT认证完成时间（10分）</w:t>
            </w:r>
          </w:p>
        </w:tc>
        <w:tc>
          <w:tcPr>
            <w:tcW w:w="306" w:type="pct"/>
            <w:tcBorders>
              <w:top w:val="nil"/>
              <w:left w:val="nil"/>
              <w:bottom w:val="single" w:color="auto" w:sz="4" w:space="0"/>
              <w:right w:val="single" w:color="auto" w:sz="4" w:space="0"/>
            </w:tcBorders>
            <w:vAlign w:val="center"/>
          </w:tcPr>
          <w:p w14:paraId="73F7F0FD">
            <w:pPr>
              <w:widowControl/>
              <w:spacing w:line="240" w:lineRule="exact"/>
              <w:jc w:val="center"/>
              <w:rPr>
                <w:rFonts w:hint="eastAsia" w:ascii="等线" w:hAnsi="等线" w:eastAsia="等线" w:cs="等线"/>
                <w:b/>
                <w:bCs/>
                <w:color w:val="000000"/>
                <w:kern w:val="0"/>
                <w:sz w:val="15"/>
                <w:szCs w:val="15"/>
              </w:rPr>
            </w:pPr>
          </w:p>
        </w:tc>
        <w:tc>
          <w:tcPr>
            <w:tcW w:w="2393" w:type="pct"/>
            <w:tcBorders>
              <w:top w:val="nil"/>
              <w:left w:val="nil"/>
              <w:bottom w:val="single" w:color="auto" w:sz="4" w:space="0"/>
              <w:right w:val="single" w:color="auto" w:sz="4" w:space="0"/>
            </w:tcBorders>
            <w:vAlign w:val="center"/>
          </w:tcPr>
          <w:p w14:paraId="7AD094C7">
            <w:pPr>
              <w:widowControl/>
              <w:spacing w:line="240" w:lineRule="exact"/>
              <w:rPr>
                <w:rFonts w:hint="eastAsia" w:ascii="等线" w:hAnsi="等线" w:eastAsia="等线" w:cs="等线"/>
                <w:b/>
                <w:bCs/>
                <w:color w:val="000000"/>
                <w:kern w:val="0"/>
                <w:sz w:val="15"/>
                <w:szCs w:val="15"/>
              </w:rPr>
            </w:pPr>
            <w:r>
              <w:rPr>
                <w:rFonts w:hint="eastAsia" w:ascii="等线" w:hAnsi="等线" w:eastAsia="等线" w:cs="等线"/>
                <w:b/>
                <w:bCs/>
                <w:color w:val="000000"/>
                <w:kern w:val="0"/>
                <w:sz w:val="15"/>
                <w:szCs w:val="15"/>
              </w:rPr>
              <w:t>自目击通过且技术资料提供之日起, 能保证___天内取得GCC、MOIAT新车型认证证书。</w:t>
            </w:r>
          </w:p>
        </w:tc>
        <w:tc>
          <w:tcPr>
            <w:tcW w:w="626" w:type="pct"/>
            <w:vMerge w:val="continue"/>
            <w:tcBorders>
              <w:top w:val="nil"/>
              <w:left w:val="single" w:color="auto" w:sz="4" w:space="0"/>
              <w:bottom w:val="single" w:color="auto" w:sz="4" w:space="0"/>
              <w:right w:val="single" w:color="auto" w:sz="4" w:space="0"/>
            </w:tcBorders>
            <w:vAlign w:val="center"/>
          </w:tcPr>
          <w:p w14:paraId="495CB520">
            <w:pPr>
              <w:widowControl/>
              <w:spacing w:line="240" w:lineRule="exact"/>
              <w:jc w:val="left"/>
              <w:rPr>
                <w:rFonts w:hint="eastAsia" w:ascii="等线" w:hAnsi="等线" w:eastAsia="等线" w:cs="宋体"/>
                <w:color w:val="000000"/>
                <w:kern w:val="0"/>
                <w:sz w:val="15"/>
                <w:szCs w:val="15"/>
              </w:rPr>
            </w:pPr>
          </w:p>
        </w:tc>
      </w:tr>
      <w:tr w14:paraId="3E381C96">
        <w:tblPrEx>
          <w:tblCellMar>
            <w:top w:w="0" w:type="dxa"/>
            <w:left w:w="108" w:type="dxa"/>
            <w:bottom w:w="0" w:type="dxa"/>
            <w:right w:w="108" w:type="dxa"/>
          </w:tblCellMar>
        </w:tblPrEx>
        <w:trPr>
          <w:trHeight w:val="720" w:hRule="atLeast"/>
          <w:jc w:val="center"/>
        </w:trPr>
        <w:tc>
          <w:tcPr>
            <w:tcW w:w="203" w:type="pct"/>
            <w:vMerge w:val="continue"/>
            <w:tcBorders>
              <w:top w:val="nil"/>
              <w:left w:val="single" w:color="auto" w:sz="4" w:space="0"/>
              <w:bottom w:val="nil"/>
              <w:right w:val="single" w:color="auto" w:sz="4" w:space="0"/>
            </w:tcBorders>
            <w:vAlign w:val="center"/>
          </w:tcPr>
          <w:p w14:paraId="511BC0F0">
            <w:pPr>
              <w:widowControl/>
              <w:spacing w:line="240" w:lineRule="exact"/>
              <w:jc w:val="left"/>
              <w:rPr>
                <w:rFonts w:hint="eastAsia" w:ascii="等线" w:hAnsi="等线" w:eastAsia="等线" w:cs="等线"/>
                <w:b/>
                <w:bCs/>
                <w:color w:val="000000"/>
                <w:kern w:val="0"/>
                <w:sz w:val="15"/>
                <w:szCs w:val="15"/>
              </w:rPr>
            </w:pPr>
          </w:p>
        </w:tc>
        <w:tc>
          <w:tcPr>
            <w:tcW w:w="533" w:type="pct"/>
            <w:vMerge w:val="continue"/>
            <w:tcBorders>
              <w:top w:val="nil"/>
              <w:left w:val="single" w:color="auto" w:sz="4" w:space="0"/>
              <w:bottom w:val="nil"/>
              <w:right w:val="single" w:color="auto" w:sz="4" w:space="0"/>
            </w:tcBorders>
            <w:vAlign w:val="center"/>
          </w:tcPr>
          <w:p w14:paraId="74032DB3">
            <w:pPr>
              <w:widowControl/>
              <w:spacing w:line="240" w:lineRule="exact"/>
              <w:jc w:val="left"/>
              <w:rPr>
                <w:rFonts w:hint="eastAsia" w:ascii="等线" w:hAnsi="等线" w:eastAsia="等线" w:cs="等线"/>
                <w:b/>
                <w:bCs/>
                <w:color w:val="000000"/>
                <w:kern w:val="0"/>
                <w:sz w:val="15"/>
                <w:szCs w:val="15"/>
              </w:rPr>
            </w:pPr>
          </w:p>
        </w:tc>
        <w:tc>
          <w:tcPr>
            <w:tcW w:w="936" w:type="pct"/>
            <w:tcBorders>
              <w:top w:val="nil"/>
              <w:left w:val="nil"/>
              <w:bottom w:val="single" w:color="auto" w:sz="4" w:space="0"/>
              <w:right w:val="single" w:color="auto" w:sz="4" w:space="0"/>
            </w:tcBorders>
            <w:vAlign w:val="center"/>
          </w:tcPr>
          <w:p w14:paraId="439F5B7F">
            <w:pPr>
              <w:widowControl/>
              <w:spacing w:line="240" w:lineRule="exact"/>
              <w:jc w:val="center"/>
              <w:rPr>
                <w:rFonts w:hint="eastAsia" w:ascii="等线" w:hAnsi="等线" w:eastAsia="等线" w:cs="等线"/>
                <w:b/>
                <w:bCs/>
                <w:color w:val="000000"/>
                <w:kern w:val="0"/>
                <w:sz w:val="15"/>
                <w:szCs w:val="15"/>
              </w:rPr>
            </w:pPr>
            <w:r>
              <w:rPr>
                <w:rFonts w:hint="eastAsia" w:ascii="等线" w:hAnsi="等线" w:eastAsia="等线" w:cs="等线"/>
                <w:b/>
                <w:bCs/>
                <w:color w:val="000000"/>
                <w:kern w:val="0"/>
                <w:sz w:val="15"/>
                <w:szCs w:val="15"/>
              </w:rPr>
              <w:t>SASO电车换证完成时间</w:t>
            </w:r>
          </w:p>
          <w:p w14:paraId="525ED52F">
            <w:pPr>
              <w:widowControl/>
              <w:spacing w:line="240" w:lineRule="exact"/>
              <w:jc w:val="center"/>
              <w:rPr>
                <w:rFonts w:hint="eastAsia" w:ascii="等线" w:hAnsi="等线" w:eastAsia="等线" w:cs="等线"/>
                <w:b/>
                <w:bCs/>
                <w:color w:val="000000"/>
                <w:kern w:val="0"/>
                <w:sz w:val="15"/>
                <w:szCs w:val="15"/>
              </w:rPr>
            </w:pPr>
            <w:r>
              <w:rPr>
                <w:rFonts w:hint="eastAsia" w:ascii="等线" w:hAnsi="等线" w:eastAsia="等线" w:cs="等线"/>
                <w:b/>
                <w:bCs/>
                <w:color w:val="000000"/>
                <w:kern w:val="0"/>
                <w:sz w:val="15"/>
                <w:szCs w:val="15"/>
              </w:rPr>
              <w:t>（5分）</w:t>
            </w:r>
          </w:p>
        </w:tc>
        <w:tc>
          <w:tcPr>
            <w:tcW w:w="306" w:type="pct"/>
            <w:tcBorders>
              <w:top w:val="nil"/>
              <w:left w:val="nil"/>
              <w:bottom w:val="single" w:color="auto" w:sz="4" w:space="0"/>
              <w:right w:val="single" w:color="auto" w:sz="4" w:space="0"/>
            </w:tcBorders>
            <w:vAlign w:val="center"/>
          </w:tcPr>
          <w:p w14:paraId="0167981D">
            <w:pPr>
              <w:widowControl/>
              <w:spacing w:line="240" w:lineRule="exact"/>
              <w:jc w:val="center"/>
              <w:rPr>
                <w:rFonts w:hint="eastAsia" w:ascii="等线" w:hAnsi="等线" w:eastAsia="等线" w:cs="等线"/>
                <w:b/>
                <w:bCs/>
                <w:color w:val="000000"/>
                <w:kern w:val="0"/>
                <w:sz w:val="15"/>
                <w:szCs w:val="15"/>
              </w:rPr>
            </w:pPr>
          </w:p>
        </w:tc>
        <w:tc>
          <w:tcPr>
            <w:tcW w:w="2393" w:type="pct"/>
            <w:tcBorders>
              <w:top w:val="nil"/>
              <w:left w:val="nil"/>
              <w:bottom w:val="single" w:color="auto" w:sz="4" w:space="0"/>
              <w:right w:val="single" w:color="auto" w:sz="4" w:space="0"/>
            </w:tcBorders>
            <w:vAlign w:val="center"/>
          </w:tcPr>
          <w:p w14:paraId="18B734F0">
            <w:pPr>
              <w:widowControl/>
              <w:spacing w:line="240" w:lineRule="exact"/>
              <w:rPr>
                <w:rFonts w:hint="eastAsia" w:ascii="等线" w:hAnsi="等线" w:eastAsia="等线" w:cs="等线"/>
                <w:b/>
                <w:bCs/>
                <w:color w:val="000000"/>
                <w:kern w:val="0"/>
                <w:sz w:val="15"/>
                <w:szCs w:val="15"/>
              </w:rPr>
            </w:pPr>
            <w:r>
              <w:rPr>
                <w:rFonts w:hint="eastAsia" w:ascii="等线" w:hAnsi="等线" w:eastAsia="等线" w:cs="等线"/>
                <w:b/>
                <w:bCs/>
                <w:color w:val="000000"/>
                <w:kern w:val="0"/>
                <w:sz w:val="15"/>
                <w:szCs w:val="15"/>
              </w:rPr>
              <w:t>自技术资料提供之日起, 能保证___天内取得SASO换证认证证书。</w:t>
            </w:r>
          </w:p>
        </w:tc>
        <w:tc>
          <w:tcPr>
            <w:tcW w:w="626" w:type="pct"/>
            <w:vMerge w:val="continue"/>
            <w:tcBorders>
              <w:top w:val="nil"/>
              <w:left w:val="single" w:color="auto" w:sz="4" w:space="0"/>
              <w:bottom w:val="nil"/>
              <w:right w:val="single" w:color="auto" w:sz="4" w:space="0"/>
            </w:tcBorders>
            <w:vAlign w:val="center"/>
          </w:tcPr>
          <w:p w14:paraId="1AEDA085">
            <w:pPr>
              <w:widowControl/>
              <w:spacing w:line="240" w:lineRule="exact"/>
              <w:jc w:val="left"/>
              <w:rPr>
                <w:rFonts w:hint="eastAsia" w:ascii="等线" w:hAnsi="等线" w:eastAsia="等线" w:cs="宋体"/>
                <w:color w:val="000000"/>
                <w:kern w:val="0"/>
                <w:sz w:val="15"/>
                <w:szCs w:val="15"/>
              </w:rPr>
            </w:pPr>
          </w:p>
        </w:tc>
      </w:tr>
      <w:tr w14:paraId="4CB5D212">
        <w:tblPrEx>
          <w:tblCellMar>
            <w:top w:w="0" w:type="dxa"/>
            <w:left w:w="108" w:type="dxa"/>
            <w:bottom w:w="0" w:type="dxa"/>
            <w:right w:w="108" w:type="dxa"/>
          </w:tblCellMar>
        </w:tblPrEx>
        <w:trPr>
          <w:trHeight w:val="720" w:hRule="atLeast"/>
          <w:jc w:val="center"/>
        </w:trPr>
        <w:tc>
          <w:tcPr>
            <w:tcW w:w="203" w:type="pct"/>
            <w:vMerge w:val="continue"/>
            <w:tcBorders>
              <w:top w:val="nil"/>
              <w:left w:val="single" w:color="auto" w:sz="4" w:space="0"/>
              <w:bottom w:val="single" w:color="000000" w:sz="4" w:space="0"/>
              <w:right w:val="single" w:color="auto" w:sz="4" w:space="0"/>
            </w:tcBorders>
            <w:vAlign w:val="center"/>
          </w:tcPr>
          <w:p w14:paraId="03FF603E">
            <w:pPr>
              <w:widowControl/>
              <w:spacing w:line="240" w:lineRule="exact"/>
              <w:jc w:val="left"/>
              <w:rPr>
                <w:rFonts w:hint="eastAsia" w:ascii="等线" w:hAnsi="等线" w:eastAsia="等线" w:cs="等线"/>
                <w:b/>
                <w:bCs/>
                <w:color w:val="000000"/>
                <w:kern w:val="0"/>
                <w:sz w:val="15"/>
                <w:szCs w:val="15"/>
              </w:rPr>
            </w:pPr>
          </w:p>
        </w:tc>
        <w:tc>
          <w:tcPr>
            <w:tcW w:w="533" w:type="pct"/>
            <w:vMerge w:val="continue"/>
            <w:tcBorders>
              <w:top w:val="nil"/>
              <w:left w:val="single" w:color="auto" w:sz="4" w:space="0"/>
              <w:bottom w:val="single" w:color="000000" w:sz="4" w:space="0"/>
              <w:right w:val="single" w:color="auto" w:sz="4" w:space="0"/>
            </w:tcBorders>
            <w:vAlign w:val="center"/>
          </w:tcPr>
          <w:p w14:paraId="3F1CEDA9">
            <w:pPr>
              <w:widowControl/>
              <w:spacing w:line="240" w:lineRule="exact"/>
              <w:jc w:val="left"/>
              <w:rPr>
                <w:rFonts w:hint="eastAsia" w:ascii="等线" w:hAnsi="等线" w:eastAsia="等线" w:cs="等线"/>
                <w:b/>
                <w:bCs/>
                <w:color w:val="000000"/>
                <w:kern w:val="0"/>
                <w:sz w:val="15"/>
                <w:szCs w:val="15"/>
              </w:rPr>
            </w:pPr>
          </w:p>
        </w:tc>
        <w:tc>
          <w:tcPr>
            <w:tcW w:w="936" w:type="pct"/>
            <w:tcBorders>
              <w:top w:val="nil"/>
              <w:left w:val="nil"/>
              <w:bottom w:val="single" w:color="000000" w:sz="4" w:space="0"/>
              <w:right w:val="single" w:color="auto" w:sz="4" w:space="0"/>
            </w:tcBorders>
            <w:vAlign w:val="center"/>
          </w:tcPr>
          <w:p w14:paraId="4C51723D">
            <w:pPr>
              <w:widowControl/>
              <w:spacing w:line="240" w:lineRule="exact"/>
              <w:jc w:val="center"/>
              <w:rPr>
                <w:rFonts w:hint="eastAsia" w:ascii="等线" w:hAnsi="等线" w:eastAsia="等线" w:cs="等线"/>
                <w:b/>
                <w:bCs/>
                <w:color w:val="000000"/>
                <w:kern w:val="0"/>
                <w:sz w:val="15"/>
                <w:szCs w:val="15"/>
              </w:rPr>
            </w:pPr>
            <w:r>
              <w:rPr>
                <w:rFonts w:hint="eastAsia" w:ascii="等线" w:hAnsi="等线" w:eastAsia="等线" w:cs="等线"/>
                <w:b/>
                <w:bCs/>
                <w:color w:val="000000"/>
                <w:kern w:val="0"/>
                <w:sz w:val="15"/>
                <w:szCs w:val="15"/>
              </w:rPr>
              <w:t>GCC、MOIAT电车换证完成时间（5分）</w:t>
            </w:r>
          </w:p>
        </w:tc>
        <w:tc>
          <w:tcPr>
            <w:tcW w:w="306" w:type="pct"/>
            <w:tcBorders>
              <w:top w:val="nil"/>
              <w:left w:val="nil"/>
              <w:bottom w:val="single" w:color="000000" w:sz="4" w:space="0"/>
              <w:right w:val="single" w:color="auto" w:sz="4" w:space="0"/>
            </w:tcBorders>
            <w:vAlign w:val="center"/>
          </w:tcPr>
          <w:p w14:paraId="4447F1E8">
            <w:pPr>
              <w:widowControl/>
              <w:spacing w:line="240" w:lineRule="exact"/>
              <w:jc w:val="center"/>
              <w:rPr>
                <w:rFonts w:hint="eastAsia" w:ascii="等线" w:hAnsi="等线" w:eastAsia="等线" w:cs="等线"/>
                <w:b/>
                <w:bCs/>
                <w:color w:val="000000"/>
                <w:kern w:val="0"/>
                <w:sz w:val="15"/>
                <w:szCs w:val="15"/>
              </w:rPr>
            </w:pPr>
          </w:p>
        </w:tc>
        <w:tc>
          <w:tcPr>
            <w:tcW w:w="2393" w:type="pct"/>
            <w:tcBorders>
              <w:top w:val="nil"/>
              <w:left w:val="nil"/>
              <w:bottom w:val="single" w:color="000000" w:sz="4" w:space="0"/>
              <w:right w:val="single" w:color="auto" w:sz="4" w:space="0"/>
            </w:tcBorders>
            <w:vAlign w:val="center"/>
          </w:tcPr>
          <w:p w14:paraId="69068FEE">
            <w:pPr>
              <w:widowControl/>
              <w:spacing w:line="240" w:lineRule="exact"/>
              <w:rPr>
                <w:rFonts w:hint="eastAsia" w:ascii="等线" w:hAnsi="等线" w:eastAsia="等线" w:cs="等线"/>
                <w:b/>
                <w:bCs/>
                <w:color w:val="000000"/>
                <w:kern w:val="0"/>
                <w:sz w:val="15"/>
                <w:szCs w:val="15"/>
              </w:rPr>
            </w:pPr>
            <w:r>
              <w:rPr>
                <w:rFonts w:hint="eastAsia" w:ascii="等线" w:hAnsi="等线" w:eastAsia="等线" w:cs="等线"/>
                <w:b/>
                <w:bCs/>
                <w:color w:val="000000"/>
                <w:kern w:val="0"/>
                <w:sz w:val="15"/>
                <w:szCs w:val="15"/>
              </w:rPr>
              <w:t>自技术资料提供之日起, 能保证___天内取得GCC、MOIAT换证认证证书。</w:t>
            </w:r>
          </w:p>
        </w:tc>
        <w:tc>
          <w:tcPr>
            <w:tcW w:w="626" w:type="pct"/>
            <w:vMerge w:val="continue"/>
            <w:tcBorders>
              <w:top w:val="nil"/>
              <w:left w:val="single" w:color="auto" w:sz="4" w:space="0"/>
              <w:bottom w:val="single" w:color="000000" w:sz="4" w:space="0"/>
              <w:right w:val="single" w:color="auto" w:sz="4" w:space="0"/>
            </w:tcBorders>
            <w:vAlign w:val="center"/>
          </w:tcPr>
          <w:p w14:paraId="7F8C8283">
            <w:pPr>
              <w:widowControl/>
              <w:spacing w:line="240" w:lineRule="exact"/>
              <w:jc w:val="left"/>
              <w:rPr>
                <w:rFonts w:hint="eastAsia" w:ascii="等线" w:hAnsi="等线" w:eastAsia="等线" w:cs="宋体"/>
                <w:color w:val="000000"/>
                <w:kern w:val="0"/>
                <w:sz w:val="15"/>
                <w:szCs w:val="15"/>
              </w:rPr>
            </w:pPr>
          </w:p>
        </w:tc>
      </w:tr>
    </w:tbl>
    <w:p w14:paraId="1E516FBD">
      <w:pPr>
        <w:widowControl/>
        <w:jc w:val="left"/>
        <w:rPr>
          <w:rFonts w:hint="eastAsia" w:ascii="等线" w:hAnsi="等线" w:eastAsia="等线"/>
          <w:b/>
          <w:bCs/>
          <w:sz w:val="18"/>
          <w:szCs w:val="18"/>
        </w:rPr>
      </w:pPr>
      <w:r>
        <w:rPr>
          <w:rFonts w:ascii="等线" w:hAnsi="等线" w:eastAsia="等线"/>
          <w:sz w:val="15"/>
          <w:szCs w:val="15"/>
        </w:rPr>
        <w:br w:type="page"/>
      </w:r>
      <w:r>
        <w:rPr>
          <w:rFonts w:hint="eastAsia" w:ascii="等线" w:hAnsi="等线" w:eastAsia="等线"/>
          <w:b/>
          <w:bCs/>
          <w:szCs w:val="21"/>
        </w:rPr>
        <w:t>表二：供应商商务价格评审项目/评分标准</w:t>
      </w:r>
    </w:p>
    <w:tbl>
      <w:tblPr>
        <w:tblStyle w:val="9"/>
        <w:tblpPr w:leftFromText="180" w:rightFromText="180" w:vertAnchor="text" w:horzAnchor="page" w:tblpX="926" w:tblpY="94"/>
        <w:tblOverlap w:val="never"/>
        <w:tblW w:w="13862" w:type="dxa"/>
        <w:tblInd w:w="0" w:type="dxa"/>
        <w:tblLayout w:type="fixed"/>
        <w:tblCellMar>
          <w:top w:w="0" w:type="dxa"/>
          <w:left w:w="108" w:type="dxa"/>
          <w:bottom w:w="0" w:type="dxa"/>
          <w:right w:w="108" w:type="dxa"/>
        </w:tblCellMar>
      </w:tblPr>
      <w:tblGrid>
        <w:gridCol w:w="549"/>
        <w:gridCol w:w="1006"/>
        <w:gridCol w:w="1984"/>
        <w:gridCol w:w="851"/>
        <w:gridCol w:w="5386"/>
        <w:gridCol w:w="4086"/>
      </w:tblGrid>
      <w:tr w14:paraId="484DFC2B">
        <w:trPr>
          <w:trHeight w:val="20" w:hRule="atLeast"/>
        </w:trPr>
        <w:tc>
          <w:tcPr>
            <w:tcW w:w="549" w:type="dxa"/>
            <w:tcBorders>
              <w:top w:val="single" w:color="auto" w:sz="4" w:space="0"/>
              <w:left w:val="single" w:color="auto" w:sz="4" w:space="0"/>
              <w:bottom w:val="single" w:color="auto" w:sz="4" w:space="0"/>
              <w:right w:val="single" w:color="auto" w:sz="4" w:space="0"/>
            </w:tcBorders>
            <w:shd w:val="clear" w:color="auto" w:fill="D9D9D9"/>
            <w:noWrap/>
            <w:vAlign w:val="center"/>
          </w:tcPr>
          <w:p w14:paraId="60099BAB">
            <w:pPr>
              <w:widowControl/>
              <w:spacing w:line="200" w:lineRule="exact"/>
              <w:jc w:val="center"/>
              <w:rPr>
                <w:rFonts w:hint="eastAsia" w:ascii="等线" w:hAnsi="等线" w:eastAsia="等线" w:cs="等线"/>
                <w:b/>
                <w:bCs/>
                <w:color w:val="000000"/>
                <w:kern w:val="0"/>
                <w:sz w:val="15"/>
                <w:szCs w:val="15"/>
              </w:rPr>
            </w:pPr>
            <w:r>
              <w:rPr>
                <w:rFonts w:hint="eastAsia" w:ascii="等线" w:hAnsi="等线" w:eastAsia="等线" w:cs="等线"/>
                <w:b/>
                <w:bCs/>
                <w:color w:val="000000"/>
                <w:kern w:val="0"/>
                <w:sz w:val="15"/>
                <w:szCs w:val="15"/>
              </w:rPr>
              <w:t>序</w:t>
            </w:r>
          </w:p>
        </w:tc>
        <w:tc>
          <w:tcPr>
            <w:tcW w:w="1006" w:type="dxa"/>
            <w:tcBorders>
              <w:top w:val="single" w:color="auto" w:sz="4" w:space="0"/>
              <w:left w:val="single" w:color="auto" w:sz="4" w:space="0"/>
              <w:bottom w:val="single" w:color="auto" w:sz="4" w:space="0"/>
              <w:right w:val="single" w:color="auto" w:sz="4" w:space="0"/>
            </w:tcBorders>
            <w:shd w:val="clear" w:color="auto" w:fill="D9D9D9"/>
            <w:vAlign w:val="center"/>
          </w:tcPr>
          <w:p w14:paraId="20B2CC1B">
            <w:pPr>
              <w:widowControl/>
              <w:spacing w:line="200" w:lineRule="exact"/>
              <w:jc w:val="center"/>
              <w:rPr>
                <w:rFonts w:hint="eastAsia" w:ascii="等线" w:hAnsi="等线" w:eastAsia="等线" w:cs="等线"/>
                <w:b/>
                <w:bCs/>
                <w:color w:val="000000"/>
                <w:kern w:val="0"/>
                <w:sz w:val="15"/>
                <w:szCs w:val="15"/>
              </w:rPr>
            </w:pPr>
            <w:r>
              <w:rPr>
                <w:rFonts w:hint="eastAsia" w:ascii="等线" w:hAnsi="等线" w:eastAsia="等线" w:cs="等线"/>
                <w:b/>
                <w:bCs/>
                <w:color w:val="000000"/>
                <w:kern w:val="0"/>
                <w:sz w:val="15"/>
                <w:szCs w:val="15"/>
              </w:rPr>
              <w:t>评审方向</w:t>
            </w:r>
          </w:p>
        </w:tc>
        <w:tc>
          <w:tcPr>
            <w:tcW w:w="1984" w:type="dxa"/>
            <w:tcBorders>
              <w:top w:val="single" w:color="auto" w:sz="4" w:space="0"/>
              <w:left w:val="single" w:color="auto" w:sz="4" w:space="0"/>
              <w:bottom w:val="single" w:color="auto" w:sz="4" w:space="0"/>
              <w:right w:val="single" w:color="auto" w:sz="4" w:space="0"/>
            </w:tcBorders>
            <w:shd w:val="clear" w:color="auto" w:fill="D9D9D9"/>
            <w:vAlign w:val="center"/>
          </w:tcPr>
          <w:p w14:paraId="2AD9DD07">
            <w:pPr>
              <w:widowControl/>
              <w:spacing w:line="200" w:lineRule="exact"/>
              <w:jc w:val="center"/>
              <w:rPr>
                <w:rFonts w:hint="eastAsia" w:ascii="等线" w:hAnsi="等线" w:eastAsia="等线" w:cs="等线"/>
                <w:b/>
                <w:bCs/>
                <w:color w:val="000000"/>
                <w:kern w:val="0"/>
                <w:sz w:val="15"/>
                <w:szCs w:val="15"/>
              </w:rPr>
            </w:pPr>
            <w:r>
              <w:rPr>
                <w:rFonts w:hint="eastAsia" w:ascii="等线" w:hAnsi="等线" w:eastAsia="等线" w:cs="等线"/>
                <w:b/>
                <w:bCs/>
                <w:color w:val="000000"/>
                <w:kern w:val="0"/>
                <w:sz w:val="15"/>
                <w:szCs w:val="15"/>
              </w:rPr>
              <w:t>评审内容</w:t>
            </w:r>
          </w:p>
        </w:tc>
        <w:tc>
          <w:tcPr>
            <w:tcW w:w="851" w:type="dxa"/>
            <w:tcBorders>
              <w:top w:val="single" w:color="auto" w:sz="4" w:space="0"/>
              <w:left w:val="single" w:color="auto" w:sz="4" w:space="0"/>
              <w:bottom w:val="single" w:color="auto" w:sz="4" w:space="0"/>
              <w:right w:val="single" w:color="auto" w:sz="4" w:space="0"/>
            </w:tcBorders>
            <w:shd w:val="clear" w:color="auto" w:fill="D9D9D9"/>
            <w:noWrap/>
            <w:vAlign w:val="center"/>
          </w:tcPr>
          <w:p w14:paraId="7768D705">
            <w:pPr>
              <w:widowControl/>
              <w:wordWrap w:val="0"/>
              <w:spacing w:line="240" w:lineRule="exact"/>
              <w:jc w:val="center"/>
              <w:rPr>
                <w:rFonts w:hint="eastAsia" w:ascii="等线" w:hAnsi="等线" w:eastAsia="等线" w:cs="等线"/>
                <w:b/>
                <w:bCs/>
                <w:color w:val="000000"/>
                <w:kern w:val="0"/>
                <w:sz w:val="15"/>
                <w:szCs w:val="15"/>
              </w:rPr>
            </w:pPr>
            <w:r>
              <w:rPr>
                <w:rFonts w:hint="eastAsia" w:ascii="等线" w:hAnsi="等线" w:eastAsia="等线" w:cs="等线"/>
                <w:b/>
                <w:bCs/>
                <w:color w:val="000000"/>
                <w:kern w:val="0"/>
                <w:sz w:val="15"/>
                <w:szCs w:val="15"/>
              </w:rPr>
              <w:t>分值占比</w:t>
            </w:r>
          </w:p>
        </w:tc>
        <w:tc>
          <w:tcPr>
            <w:tcW w:w="5386" w:type="dxa"/>
            <w:tcBorders>
              <w:top w:val="single" w:color="auto" w:sz="4" w:space="0"/>
              <w:left w:val="nil"/>
              <w:bottom w:val="single" w:color="auto" w:sz="4" w:space="0"/>
              <w:right w:val="single" w:color="auto" w:sz="4" w:space="0"/>
            </w:tcBorders>
            <w:shd w:val="clear" w:color="auto" w:fill="D9D9D9"/>
            <w:vAlign w:val="center"/>
          </w:tcPr>
          <w:p w14:paraId="6A0E219F">
            <w:pPr>
              <w:widowControl/>
              <w:spacing w:line="200" w:lineRule="exact"/>
              <w:jc w:val="center"/>
              <w:rPr>
                <w:rFonts w:hint="eastAsia" w:ascii="等线" w:hAnsi="等线" w:eastAsia="等线" w:cs="等线"/>
                <w:b/>
                <w:bCs/>
                <w:color w:val="000000"/>
                <w:kern w:val="0"/>
                <w:sz w:val="15"/>
                <w:szCs w:val="15"/>
              </w:rPr>
            </w:pPr>
            <w:r>
              <w:rPr>
                <w:rFonts w:hint="eastAsia" w:ascii="等线" w:hAnsi="等线" w:eastAsia="等线" w:cs="等线"/>
                <w:b/>
                <w:bCs/>
                <w:color w:val="000000"/>
                <w:kern w:val="0"/>
                <w:sz w:val="15"/>
                <w:szCs w:val="15"/>
              </w:rPr>
              <w:t>评审标准</w:t>
            </w:r>
          </w:p>
          <w:p w14:paraId="63DAC2FC">
            <w:pPr>
              <w:widowControl/>
              <w:spacing w:line="200" w:lineRule="exact"/>
              <w:jc w:val="center"/>
              <w:rPr>
                <w:rFonts w:hint="eastAsia" w:ascii="等线" w:hAnsi="等线" w:eastAsia="等线" w:cs="等线"/>
                <w:b/>
                <w:bCs/>
                <w:color w:val="0000FF"/>
                <w:kern w:val="0"/>
                <w:sz w:val="15"/>
                <w:szCs w:val="15"/>
              </w:rPr>
            </w:pPr>
          </w:p>
        </w:tc>
        <w:tc>
          <w:tcPr>
            <w:tcW w:w="4086" w:type="dxa"/>
            <w:tcBorders>
              <w:top w:val="single" w:color="auto" w:sz="4" w:space="0"/>
              <w:left w:val="single" w:color="auto" w:sz="4" w:space="0"/>
              <w:bottom w:val="single" w:color="auto" w:sz="4" w:space="0"/>
              <w:right w:val="single" w:color="auto" w:sz="4" w:space="0"/>
            </w:tcBorders>
            <w:shd w:val="clear" w:color="auto" w:fill="D9D9D9"/>
            <w:noWrap/>
            <w:vAlign w:val="center"/>
          </w:tcPr>
          <w:p w14:paraId="052C0D21">
            <w:pPr>
              <w:widowControl/>
              <w:spacing w:line="200" w:lineRule="exact"/>
              <w:jc w:val="center"/>
              <w:rPr>
                <w:rFonts w:hint="eastAsia" w:ascii="等线" w:hAnsi="等线" w:eastAsia="等线" w:cs="等线"/>
                <w:b/>
                <w:bCs/>
                <w:color w:val="000000"/>
                <w:kern w:val="0"/>
                <w:sz w:val="15"/>
                <w:szCs w:val="15"/>
              </w:rPr>
            </w:pPr>
            <w:r>
              <w:rPr>
                <w:rFonts w:hint="eastAsia" w:ascii="等线" w:hAnsi="等线" w:eastAsia="等线" w:cs="等线"/>
                <w:b/>
                <w:bCs/>
                <w:color w:val="000000"/>
                <w:kern w:val="0"/>
                <w:sz w:val="15"/>
                <w:szCs w:val="15"/>
              </w:rPr>
              <w:t>说明</w:t>
            </w:r>
          </w:p>
        </w:tc>
      </w:tr>
      <w:tr w14:paraId="410CB7BF">
        <w:tblPrEx>
          <w:tblCellMar>
            <w:top w:w="0" w:type="dxa"/>
            <w:left w:w="108" w:type="dxa"/>
            <w:bottom w:w="0" w:type="dxa"/>
            <w:right w:w="108" w:type="dxa"/>
          </w:tblCellMar>
        </w:tblPrEx>
        <w:trPr>
          <w:trHeight w:val="20" w:hRule="atLeast"/>
        </w:trPr>
        <w:tc>
          <w:tcPr>
            <w:tcW w:w="549" w:type="dxa"/>
            <w:tcBorders>
              <w:top w:val="single" w:color="auto" w:sz="4" w:space="0"/>
              <w:left w:val="single" w:color="auto" w:sz="4" w:space="0"/>
              <w:bottom w:val="single" w:color="auto" w:sz="4" w:space="0"/>
              <w:right w:val="single" w:color="auto" w:sz="4" w:space="0"/>
            </w:tcBorders>
            <w:noWrap/>
            <w:vAlign w:val="center"/>
          </w:tcPr>
          <w:p w14:paraId="50FEFC02">
            <w:pPr>
              <w:widowControl/>
              <w:spacing w:line="240" w:lineRule="exact"/>
              <w:jc w:val="center"/>
              <w:rPr>
                <w:rFonts w:hint="eastAsia" w:ascii="等线" w:hAnsi="等线" w:eastAsia="等线" w:cs="等线"/>
                <w:b/>
                <w:bCs/>
                <w:color w:val="000000"/>
                <w:kern w:val="0"/>
                <w:sz w:val="15"/>
                <w:szCs w:val="15"/>
              </w:rPr>
            </w:pPr>
            <w:bookmarkStart w:id="9" w:name="_Hlk216870764"/>
            <w:r>
              <w:rPr>
                <w:rFonts w:hint="eastAsia" w:ascii="等线" w:hAnsi="等线" w:eastAsia="等线" w:cs="等线"/>
                <w:b/>
                <w:bCs/>
                <w:color w:val="000000"/>
                <w:kern w:val="0"/>
                <w:sz w:val="15"/>
                <w:szCs w:val="15"/>
              </w:rPr>
              <w:t>3</w:t>
            </w:r>
          </w:p>
        </w:tc>
        <w:tc>
          <w:tcPr>
            <w:tcW w:w="1006" w:type="dxa"/>
            <w:tcBorders>
              <w:top w:val="single" w:color="auto" w:sz="4" w:space="0"/>
              <w:left w:val="single" w:color="auto" w:sz="4" w:space="0"/>
              <w:bottom w:val="single" w:color="auto" w:sz="4" w:space="0"/>
              <w:right w:val="single" w:color="auto" w:sz="4" w:space="0"/>
            </w:tcBorders>
            <w:vAlign w:val="center"/>
          </w:tcPr>
          <w:p w14:paraId="54B8C353">
            <w:pPr>
              <w:widowControl/>
              <w:spacing w:line="240" w:lineRule="exact"/>
              <w:jc w:val="center"/>
              <w:rPr>
                <w:rFonts w:hint="eastAsia" w:ascii="等线" w:hAnsi="等线" w:eastAsia="等线" w:cs="等线"/>
                <w:b/>
                <w:bCs/>
                <w:color w:val="000000"/>
                <w:kern w:val="0"/>
                <w:sz w:val="15"/>
                <w:szCs w:val="15"/>
              </w:rPr>
            </w:pPr>
            <w:r>
              <w:rPr>
                <w:rFonts w:hint="eastAsia" w:ascii="等线" w:hAnsi="等线" w:eastAsia="等线" w:cs="等线"/>
                <w:b/>
                <w:bCs/>
                <w:color w:val="000000"/>
                <w:kern w:val="0"/>
                <w:sz w:val="15"/>
                <w:szCs w:val="15"/>
              </w:rPr>
              <w:t>价格C</w:t>
            </w:r>
          </w:p>
        </w:tc>
        <w:tc>
          <w:tcPr>
            <w:tcW w:w="1984" w:type="dxa"/>
            <w:tcBorders>
              <w:top w:val="single" w:color="auto" w:sz="4" w:space="0"/>
              <w:left w:val="single" w:color="auto" w:sz="4" w:space="0"/>
              <w:bottom w:val="single" w:color="auto" w:sz="4" w:space="0"/>
              <w:right w:val="single" w:color="auto" w:sz="4" w:space="0"/>
            </w:tcBorders>
            <w:vAlign w:val="center"/>
          </w:tcPr>
          <w:p w14:paraId="002FC896">
            <w:pPr>
              <w:widowControl/>
              <w:spacing w:line="240" w:lineRule="exact"/>
              <w:jc w:val="center"/>
              <w:rPr>
                <w:rFonts w:hint="eastAsia" w:ascii="等线" w:hAnsi="等线" w:eastAsia="等线" w:cs="等线"/>
                <w:b/>
                <w:bCs/>
                <w:color w:val="FF0000"/>
                <w:kern w:val="0"/>
                <w:sz w:val="15"/>
                <w:szCs w:val="15"/>
              </w:rPr>
            </w:pPr>
            <w:r>
              <w:rPr>
                <w:rFonts w:hint="eastAsia" w:ascii="等线" w:hAnsi="等线" w:eastAsia="等线" w:cs="等线"/>
                <w:b/>
                <w:bCs/>
                <w:color w:val="FF0000"/>
                <w:kern w:val="0"/>
                <w:sz w:val="15"/>
                <w:szCs w:val="15"/>
              </w:rPr>
              <w:t>提供设计&amp;服务价格/配套物资价格</w:t>
            </w:r>
          </w:p>
        </w:tc>
        <w:tc>
          <w:tcPr>
            <w:tcW w:w="851" w:type="dxa"/>
            <w:tcBorders>
              <w:top w:val="single" w:color="auto" w:sz="4" w:space="0"/>
              <w:left w:val="single" w:color="auto" w:sz="4" w:space="0"/>
              <w:bottom w:val="single" w:color="auto" w:sz="4" w:space="0"/>
              <w:right w:val="single" w:color="auto" w:sz="4" w:space="0"/>
            </w:tcBorders>
            <w:noWrap/>
            <w:vAlign w:val="center"/>
          </w:tcPr>
          <w:p w14:paraId="36100EF3">
            <w:pPr>
              <w:widowControl/>
              <w:spacing w:line="240" w:lineRule="exact"/>
              <w:jc w:val="center"/>
              <w:rPr>
                <w:rFonts w:hint="eastAsia" w:ascii="等线" w:hAnsi="等线" w:eastAsia="等线" w:cs="等线"/>
                <w:color w:val="000000"/>
                <w:kern w:val="0"/>
                <w:sz w:val="15"/>
                <w:szCs w:val="15"/>
              </w:rPr>
            </w:pPr>
            <w:r>
              <w:rPr>
                <w:rFonts w:hint="eastAsia" w:ascii="等线" w:hAnsi="等线" w:eastAsia="等线" w:cs="等线"/>
                <w:b/>
                <w:bCs/>
                <w:color w:val="FF0000"/>
                <w:kern w:val="0"/>
                <w:sz w:val="15"/>
                <w:szCs w:val="15"/>
              </w:rPr>
              <w:t>100分</w:t>
            </w:r>
          </w:p>
        </w:tc>
        <w:tc>
          <w:tcPr>
            <w:tcW w:w="5386" w:type="dxa"/>
            <w:tcBorders>
              <w:top w:val="single" w:color="auto" w:sz="4" w:space="0"/>
              <w:left w:val="nil"/>
              <w:bottom w:val="single" w:color="auto" w:sz="4" w:space="0"/>
              <w:right w:val="single" w:color="auto" w:sz="4" w:space="0"/>
            </w:tcBorders>
            <w:vAlign w:val="center"/>
          </w:tcPr>
          <w:p w14:paraId="0A591372">
            <w:pPr>
              <w:spacing w:before="78" w:beforeLines="25" w:after="78" w:afterLines="25" w:line="360" w:lineRule="auto"/>
              <w:rPr>
                <w:rFonts w:hint="eastAsia" w:ascii="等线" w:hAnsi="等线" w:eastAsia="等线" w:cs="等线"/>
                <w:b/>
                <w:bCs/>
                <w:color w:val="000000"/>
                <w:kern w:val="0"/>
                <w:sz w:val="15"/>
                <w:szCs w:val="15"/>
              </w:rPr>
            </w:pPr>
            <w:r>
              <w:rPr>
                <w:rFonts w:hint="eastAsia" w:ascii="等线" w:hAnsi="等线" w:eastAsia="等线" w:cs="等线"/>
                <w:b/>
                <w:bCs/>
                <w:color w:val="000000"/>
                <w:kern w:val="0"/>
                <w:sz w:val="15"/>
                <w:szCs w:val="15"/>
              </w:rPr>
              <w:t>比值法：满足招标文件要求且投标价格最低的投标报价作为评标基准价，其价格分为满分；投标报价得分按以下公式计算：</w:t>
            </w:r>
          </w:p>
          <w:tbl>
            <w:tblPr>
              <w:tblStyle w:val="9"/>
              <w:tblpPr w:leftFromText="180" w:rightFromText="180" w:vertAnchor="text" w:horzAnchor="page" w:tblpX="142" w:tblpY="67"/>
              <w:tblOverlap w:val="never"/>
              <w:tblW w:w="4761" w:type="dxa"/>
              <w:tblInd w:w="0" w:type="dxa"/>
              <w:tblLayout w:type="fixed"/>
              <w:tblCellMar>
                <w:top w:w="0" w:type="dxa"/>
                <w:left w:w="108" w:type="dxa"/>
                <w:bottom w:w="0" w:type="dxa"/>
                <w:right w:w="108" w:type="dxa"/>
              </w:tblCellMar>
            </w:tblPr>
            <w:tblGrid>
              <w:gridCol w:w="1368"/>
              <w:gridCol w:w="2493"/>
              <w:gridCol w:w="900"/>
            </w:tblGrid>
            <w:tr w14:paraId="22505E1F">
              <w:trPr>
                <w:trHeight w:val="603" w:hRule="atLeast"/>
              </w:trPr>
              <w:tc>
                <w:tcPr>
                  <w:tcW w:w="1368" w:type="dxa"/>
                  <w:vMerge w:val="restart"/>
                  <w:vAlign w:val="center"/>
                </w:tcPr>
                <w:p w14:paraId="686B1B41">
                  <w:pPr>
                    <w:jc w:val="right"/>
                    <w:rPr>
                      <w:rFonts w:hint="eastAsia" w:ascii="等线" w:hAnsi="等线" w:eastAsia="等线" w:cs="等线"/>
                      <w:b/>
                      <w:sz w:val="15"/>
                      <w:szCs w:val="15"/>
                    </w:rPr>
                  </w:pPr>
                  <w:r>
                    <w:rPr>
                      <w:rFonts w:hint="eastAsia" w:ascii="等线" w:hAnsi="等线" w:eastAsia="等线" w:cs="等线"/>
                      <w:b/>
                      <w:sz w:val="15"/>
                      <w:szCs w:val="15"/>
                    </w:rPr>
                    <w:t>价格得分=</w:t>
                  </w:r>
                </w:p>
              </w:tc>
              <w:tc>
                <w:tcPr>
                  <w:tcW w:w="2493" w:type="dxa"/>
                  <w:tcBorders>
                    <w:bottom w:val="single" w:color="auto" w:sz="4" w:space="0"/>
                  </w:tcBorders>
                  <w:vAlign w:val="center"/>
                </w:tcPr>
                <w:p w14:paraId="12802A9C">
                  <w:pPr>
                    <w:rPr>
                      <w:rFonts w:hint="eastAsia" w:ascii="等线" w:hAnsi="等线" w:eastAsia="等线" w:cs="等线"/>
                      <w:b/>
                      <w:sz w:val="15"/>
                      <w:szCs w:val="15"/>
                    </w:rPr>
                  </w:pPr>
                  <w:r>
                    <w:rPr>
                      <w:rFonts w:hint="eastAsia" w:ascii="等线" w:hAnsi="等线" w:eastAsia="等线" w:cs="等线"/>
                      <w:b/>
                      <w:sz w:val="15"/>
                      <w:szCs w:val="15"/>
                    </w:rPr>
                    <w:t>评标基准价</w:t>
                  </w:r>
                </w:p>
              </w:tc>
              <w:tc>
                <w:tcPr>
                  <w:tcW w:w="900" w:type="dxa"/>
                  <w:vMerge w:val="restart"/>
                  <w:vAlign w:val="center"/>
                </w:tcPr>
                <w:p w14:paraId="11A1D63C">
                  <w:pPr>
                    <w:rPr>
                      <w:rFonts w:hint="eastAsia" w:ascii="等线" w:hAnsi="等线" w:eastAsia="等线" w:cs="等线"/>
                      <w:b/>
                      <w:sz w:val="15"/>
                      <w:szCs w:val="15"/>
                    </w:rPr>
                  </w:pPr>
                  <w:r>
                    <w:rPr>
                      <w:rFonts w:hint="eastAsia" w:ascii="等线" w:hAnsi="等线" w:eastAsia="等线" w:cs="等线"/>
                      <w:b/>
                      <w:sz w:val="15"/>
                      <w:szCs w:val="15"/>
                    </w:rPr>
                    <w:t>×100</w:t>
                  </w:r>
                </w:p>
              </w:tc>
            </w:tr>
            <w:tr w14:paraId="6A94369E">
              <w:tblPrEx>
                <w:tblCellMar>
                  <w:top w:w="0" w:type="dxa"/>
                  <w:left w:w="108" w:type="dxa"/>
                  <w:bottom w:w="0" w:type="dxa"/>
                  <w:right w:w="108" w:type="dxa"/>
                </w:tblCellMar>
              </w:tblPrEx>
              <w:trPr>
                <w:trHeight w:val="624" w:hRule="atLeast"/>
              </w:trPr>
              <w:tc>
                <w:tcPr>
                  <w:tcW w:w="1368" w:type="dxa"/>
                  <w:vMerge w:val="continue"/>
                  <w:vAlign w:val="center"/>
                </w:tcPr>
                <w:p w14:paraId="4C3282F5">
                  <w:pPr>
                    <w:jc w:val="center"/>
                    <w:rPr>
                      <w:rFonts w:hint="eastAsia" w:ascii="等线" w:hAnsi="等线" w:eastAsia="等线" w:cs="等线"/>
                      <w:b/>
                      <w:sz w:val="15"/>
                      <w:szCs w:val="15"/>
                    </w:rPr>
                  </w:pPr>
                </w:p>
              </w:tc>
              <w:tc>
                <w:tcPr>
                  <w:tcW w:w="2493" w:type="dxa"/>
                  <w:tcBorders>
                    <w:top w:val="single" w:color="auto" w:sz="4" w:space="0"/>
                  </w:tcBorders>
                  <w:vAlign w:val="center"/>
                </w:tcPr>
                <w:p w14:paraId="3FD50056">
                  <w:pPr>
                    <w:rPr>
                      <w:rFonts w:hint="eastAsia" w:ascii="等线" w:hAnsi="等线" w:eastAsia="等线" w:cs="等线"/>
                      <w:b/>
                      <w:sz w:val="15"/>
                      <w:szCs w:val="15"/>
                    </w:rPr>
                  </w:pPr>
                  <w:r>
                    <w:rPr>
                      <w:rFonts w:hint="eastAsia" w:ascii="等线" w:hAnsi="等线" w:eastAsia="等线" w:cs="等线"/>
                      <w:b/>
                      <w:sz w:val="15"/>
                      <w:szCs w:val="15"/>
                    </w:rPr>
                    <w:t>各投标人的有效报价</w:t>
                  </w:r>
                </w:p>
              </w:tc>
              <w:tc>
                <w:tcPr>
                  <w:tcW w:w="900" w:type="dxa"/>
                  <w:vMerge w:val="continue"/>
                  <w:vAlign w:val="center"/>
                </w:tcPr>
                <w:p w14:paraId="3A1ECFB0">
                  <w:pPr>
                    <w:jc w:val="center"/>
                    <w:rPr>
                      <w:rFonts w:hint="eastAsia" w:ascii="等线" w:hAnsi="等线" w:eastAsia="等线" w:cs="等线"/>
                      <w:b/>
                      <w:sz w:val="15"/>
                      <w:szCs w:val="15"/>
                    </w:rPr>
                  </w:pPr>
                </w:p>
              </w:tc>
            </w:tr>
          </w:tbl>
          <w:p w14:paraId="0702B257">
            <w:pPr>
              <w:widowControl/>
              <w:wordWrap w:val="0"/>
              <w:spacing w:line="240" w:lineRule="exact"/>
              <w:jc w:val="left"/>
              <w:rPr>
                <w:rFonts w:hint="eastAsia" w:ascii="等线" w:hAnsi="等线" w:eastAsia="等线" w:cs="等线"/>
                <w:b/>
                <w:bCs/>
                <w:color w:val="000000"/>
                <w:kern w:val="0"/>
                <w:sz w:val="15"/>
                <w:szCs w:val="15"/>
              </w:rPr>
            </w:pPr>
          </w:p>
          <w:p w14:paraId="65EE867F">
            <w:pPr>
              <w:widowControl/>
              <w:wordWrap w:val="0"/>
              <w:spacing w:line="240" w:lineRule="exact"/>
              <w:jc w:val="left"/>
              <w:rPr>
                <w:rFonts w:hint="eastAsia" w:ascii="等线" w:hAnsi="等线" w:eastAsia="等线" w:cs="等线"/>
                <w:b/>
                <w:bCs/>
                <w:color w:val="000000"/>
                <w:kern w:val="0"/>
                <w:sz w:val="15"/>
                <w:szCs w:val="15"/>
              </w:rPr>
            </w:pPr>
          </w:p>
        </w:tc>
        <w:tc>
          <w:tcPr>
            <w:tcW w:w="4086" w:type="dxa"/>
            <w:tcBorders>
              <w:top w:val="single" w:color="auto" w:sz="4" w:space="0"/>
              <w:left w:val="single" w:color="auto" w:sz="4" w:space="0"/>
              <w:bottom w:val="single" w:color="auto" w:sz="4" w:space="0"/>
              <w:right w:val="single" w:color="auto" w:sz="4" w:space="0"/>
            </w:tcBorders>
            <w:noWrap/>
            <w:vAlign w:val="center"/>
          </w:tcPr>
          <w:p w14:paraId="67255DFC">
            <w:pPr>
              <w:widowControl/>
              <w:spacing w:line="240" w:lineRule="exact"/>
              <w:jc w:val="left"/>
              <w:rPr>
                <w:rFonts w:hint="eastAsia" w:ascii="等线" w:hAnsi="等线" w:eastAsia="等线" w:cs="等线"/>
                <w:b/>
                <w:bCs/>
                <w:color w:val="000000"/>
                <w:kern w:val="0"/>
                <w:sz w:val="15"/>
                <w:szCs w:val="15"/>
              </w:rPr>
            </w:pPr>
            <w:r>
              <w:rPr>
                <w:rFonts w:hint="eastAsia" w:ascii="等线" w:hAnsi="等线" w:eastAsia="等线" w:cs="等线"/>
                <w:b/>
                <w:bCs/>
                <w:color w:val="000000"/>
                <w:kern w:val="0"/>
                <w:sz w:val="15"/>
                <w:szCs w:val="15"/>
              </w:rPr>
              <w:t>投标报价一览表所涉及的项目总价（</w:t>
            </w:r>
            <w:r>
              <w:rPr>
                <w:rFonts w:hint="eastAsia" w:ascii="等线" w:hAnsi="等线" w:eastAsia="等线" w:cs="等线"/>
                <w:b/>
                <w:bCs/>
                <w:color w:val="0000FF"/>
                <w:kern w:val="0"/>
                <w:sz w:val="15"/>
                <w:szCs w:val="15"/>
              </w:rPr>
              <w:t>不含税/含税</w:t>
            </w:r>
            <w:r>
              <w:rPr>
                <w:rFonts w:hint="eastAsia" w:ascii="等线" w:hAnsi="等线" w:eastAsia="等线" w:cs="等线"/>
                <w:b/>
                <w:bCs/>
                <w:color w:val="000000"/>
                <w:kern w:val="0"/>
                <w:sz w:val="15"/>
                <w:szCs w:val="15"/>
              </w:rPr>
              <w:t>）</w:t>
            </w:r>
          </w:p>
          <w:p w14:paraId="7E47C8DF">
            <w:pPr>
              <w:widowControl/>
              <w:spacing w:line="240" w:lineRule="exact"/>
              <w:jc w:val="left"/>
              <w:rPr>
                <w:rFonts w:hint="eastAsia" w:ascii="等线" w:hAnsi="等线" w:eastAsia="等线" w:cs="等线"/>
                <w:b/>
                <w:bCs/>
                <w:color w:val="000000"/>
                <w:kern w:val="0"/>
                <w:sz w:val="15"/>
                <w:szCs w:val="15"/>
              </w:rPr>
            </w:pPr>
            <w:r>
              <w:rPr>
                <w:rFonts w:hint="eastAsia" w:ascii="等线" w:hAnsi="等线" w:eastAsia="等线" w:cs="等线"/>
                <w:b/>
                <w:bCs/>
                <w:color w:val="000000"/>
                <w:kern w:val="0"/>
                <w:sz w:val="15"/>
                <w:szCs w:val="15"/>
              </w:rPr>
              <w:t>各分项报价保留小数点后2位有效数字</w:t>
            </w:r>
          </w:p>
          <w:bookmarkEnd w:id="9"/>
        </w:tc>
      </w:tr>
    </w:tbl>
    <w:p w14:paraId="723937D8">
      <w:pPr>
        <w:rPr>
          <w:rFonts w:hint="eastAsia" w:ascii="等线" w:hAnsi="等线" w:eastAsia="等线" w:cs="等线"/>
          <w:b/>
          <w:bCs/>
          <w:sz w:val="15"/>
          <w:szCs w:val="15"/>
        </w:rPr>
      </w:pPr>
    </w:p>
    <w:sectPr>
      <w:pgSz w:w="16838" w:h="11906" w:orient="landscape"/>
      <w:pgMar w:top="567" w:right="567" w:bottom="284"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E34570"/>
    <w:multiLevelType w:val="singleLevel"/>
    <w:tmpl w:val="B1E34570"/>
    <w:lvl w:ilvl="0" w:tentative="0">
      <w:start w:val="1"/>
      <w:numFmt w:val="decimal"/>
      <w:suff w:val="nothing"/>
      <w:lvlText w:val="%1、"/>
      <w:lvlJc w:val="left"/>
    </w:lvl>
  </w:abstractNum>
  <w:abstractNum w:abstractNumId="1">
    <w:nsid w:val="F9F9D6B1"/>
    <w:multiLevelType w:val="singleLevel"/>
    <w:tmpl w:val="F9F9D6B1"/>
    <w:lvl w:ilvl="0" w:tentative="0">
      <w:start w:val="1"/>
      <w:numFmt w:val="chineseCounting"/>
      <w:suff w:val="nothing"/>
      <w:lvlText w:val="（%1）"/>
      <w:lvlJc w:val="left"/>
      <w:rPr>
        <w:rFonts w:hint="eastAsia"/>
      </w:rPr>
    </w:lvl>
  </w:abstractNum>
  <w:abstractNum w:abstractNumId="2">
    <w:nsid w:val="7F836D36"/>
    <w:multiLevelType w:val="singleLevel"/>
    <w:tmpl w:val="7F836D36"/>
    <w:lvl w:ilvl="0" w:tentative="0">
      <w:start w:val="2"/>
      <w:numFmt w:val="chineseCounting"/>
      <w:suff w:val="nothing"/>
      <w:lvlText w:val="%1、"/>
      <w:lvlJc w:val="left"/>
      <w:rPr>
        <w:rFonts w:hint="eastAsia"/>
        <w:color w:val="auto"/>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A42"/>
    <w:rsid w:val="00037906"/>
    <w:rsid w:val="00043010"/>
    <w:rsid w:val="00045D43"/>
    <w:rsid w:val="00052384"/>
    <w:rsid w:val="00073CAC"/>
    <w:rsid w:val="000B516F"/>
    <w:rsid w:val="000C3DB0"/>
    <w:rsid w:val="000F4A51"/>
    <w:rsid w:val="001307B0"/>
    <w:rsid w:val="00142E42"/>
    <w:rsid w:val="00143264"/>
    <w:rsid w:val="00161C70"/>
    <w:rsid w:val="00172A27"/>
    <w:rsid w:val="001C34FE"/>
    <w:rsid w:val="001D336D"/>
    <w:rsid w:val="00200525"/>
    <w:rsid w:val="00214B8E"/>
    <w:rsid w:val="00223B7B"/>
    <w:rsid w:val="00230B74"/>
    <w:rsid w:val="00251918"/>
    <w:rsid w:val="00253779"/>
    <w:rsid w:val="00275DE6"/>
    <w:rsid w:val="00281AA3"/>
    <w:rsid w:val="0029206B"/>
    <w:rsid w:val="002C4FA0"/>
    <w:rsid w:val="002E6AF8"/>
    <w:rsid w:val="002F4E44"/>
    <w:rsid w:val="002F5B8B"/>
    <w:rsid w:val="00321756"/>
    <w:rsid w:val="003223B4"/>
    <w:rsid w:val="003536BD"/>
    <w:rsid w:val="00382ADE"/>
    <w:rsid w:val="003855FD"/>
    <w:rsid w:val="00385C1C"/>
    <w:rsid w:val="003A3465"/>
    <w:rsid w:val="004061DF"/>
    <w:rsid w:val="00420FE8"/>
    <w:rsid w:val="00441870"/>
    <w:rsid w:val="004622C9"/>
    <w:rsid w:val="004668C2"/>
    <w:rsid w:val="0048237D"/>
    <w:rsid w:val="004D34D3"/>
    <w:rsid w:val="00502335"/>
    <w:rsid w:val="005529F3"/>
    <w:rsid w:val="00560705"/>
    <w:rsid w:val="005A3146"/>
    <w:rsid w:val="005A590D"/>
    <w:rsid w:val="005E5FA8"/>
    <w:rsid w:val="00604983"/>
    <w:rsid w:val="00617A00"/>
    <w:rsid w:val="00654F9A"/>
    <w:rsid w:val="006B176E"/>
    <w:rsid w:val="006B6A7B"/>
    <w:rsid w:val="007073C9"/>
    <w:rsid w:val="00723765"/>
    <w:rsid w:val="007242A9"/>
    <w:rsid w:val="00724CE0"/>
    <w:rsid w:val="007344EA"/>
    <w:rsid w:val="00773E90"/>
    <w:rsid w:val="00784EA9"/>
    <w:rsid w:val="007A1BA8"/>
    <w:rsid w:val="007A32BB"/>
    <w:rsid w:val="007E72ED"/>
    <w:rsid w:val="007F3C4F"/>
    <w:rsid w:val="00801D6E"/>
    <w:rsid w:val="008450B7"/>
    <w:rsid w:val="00847DF7"/>
    <w:rsid w:val="00852DB8"/>
    <w:rsid w:val="00871A69"/>
    <w:rsid w:val="0096418D"/>
    <w:rsid w:val="0098516E"/>
    <w:rsid w:val="00985317"/>
    <w:rsid w:val="009B0972"/>
    <w:rsid w:val="009B26D1"/>
    <w:rsid w:val="009F1404"/>
    <w:rsid w:val="00A23D2B"/>
    <w:rsid w:val="00A377CA"/>
    <w:rsid w:val="00A646A2"/>
    <w:rsid w:val="00A81980"/>
    <w:rsid w:val="00A87666"/>
    <w:rsid w:val="00AB2F20"/>
    <w:rsid w:val="00AD3A21"/>
    <w:rsid w:val="00AD7822"/>
    <w:rsid w:val="00B06412"/>
    <w:rsid w:val="00B55276"/>
    <w:rsid w:val="00B660DB"/>
    <w:rsid w:val="00B857B8"/>
    <w:rsid w:val="00BA3827"/>
    <w:rsid w:val="00BB45F0"/>
    <w:rsid w:val="00BE1AA5"/>
    <w:rsid w:val="00BF6E8D"/>
    <w:rsid w:val="00C26D29"/>
    <w:rsid w:val="00C31999"/>
    <w:rsid w:val="00C3537D"/>
    <w:rsid w:val="00C41956"/>
    <w:rsid w:val="00CB1185"/>
    <w:rsid w:val="00CB5CB7"/>
    <w:rsid w:val="00CC409F"/>
    <w:rsid w:val="00CF7EB6"/>
    <w:rsid w:val="00D02256"/>
    <w:rsid w:val="00D1191E"/>
    <w:rsid w:val="00D44D39"/>
    <w:rsid w:val="00D53FDF"/>
    <w:rsid w:val="00D55399"/>
    <w:rsid w:val="00E44D16"/>
    <w:rsid w:val="00E91FEB"/>
    <w:rsid w:val="00EA09AD"/>
    <w:rsid w:val="00EA4FE3"/>
    <w:rsid w:val="00EE06F4"/>
    <w:rsid w:val="00EE3E81"/>
    <w:rsid w:val="00F01F45"/>
    <w:rsid w:val="00F05E5E"/>
    <w:rsid w:val="00F10AA0"/>
    <w:rsid w:val="00F3381A"/>
    <w:rsid w:val="00F33892"/>
    <w:rsid w:val="00F66A1B"/>
    <w:rsid w:val="00F72635"/>
    <w:rsid w:val="00FA301C"/>
    <w:rsid w:val="00FA6120"/>
    <w:rsid w:val="022551BE"/>
    <w:rsid w:val="02BF0A2C"/>
    <w:rsid w:val="06165C36"/>
    <w:rsid w:val="08752996"/>
    <w:rsid w:val="08B536C5"/>
    <w:rsid w:val="0A41208B"/>
    <w:rsid w:val="0AAB7F34"/>
    <w:rsid w:val="0C880C59"/>
    <w:rsid w:val="0F53206B"/>
    <w:rsid w:val="0FF410AF"/>
    <w:rsid w:val="1491402B"/>
    <w:rsid w:val="15680001"/>
    <w:rsid w:val="179B3B57"/>
    <w:rsid w:val="18784278"/>
    <w:rsid w:val="19FC276B"/>
    <w:rsid w:val="1AE6371B"/>
    <w:rsid w:val="1C7F5BD5"/>
    <w:rsid w:val="250F725A"/>
    <w:rsid w:val="25867FD4"/>
    <w:rsid w:val="25B33678"/>
    <w:rsid w:val="25F42791"/>
    <w:rsid w:val="28D64C70"/>
    <w:rsid w:val="2A9A6A3F"/>
    <w:rsid w:val="2C9C69E0"/>
    <w:rsid w:val="2CE360C1"/>
    <w:rsid w:val="2D2307FE"/>
    <w:rsid w:val="2D960361"/>
    <w:rsid w:val="2E9D638E"/>
    <w:rsid w:val="2F911A4F"/>
    <w:rsid w:val="308560FA"/>
    <w:rsid w:val="30C16223"/>
    <w:rsid w:val="329E502D"/>
    <w:rsid w:val="32D304D1"/>
    <w:rsid w:val="346746F0"/>
    <w:rsid w:val="36091D1B"/>
    <w:rsid w:val="373C2CA6"/>
    <w:rsid w:val="382C5E49"/>
    <w:rsid w:val="3ACC4283"/>
    <w:rsid w:val="3AEB0E9E"/>
    <w:rsid w:val="3C2105FF"/>
    <w:rsid w:val="3DF4501E"/>
    <w:rsid w:val="40394773"/>
    <w:rsid w:val="40505553"/>
    <w:rsid w:val="45244CBC"/>
    <w:rsid w:val="459B7FA8"/>
    <w:rsid w:val="464A4625"/>
    <w:rsid w:val="46F506BE"/>
    <w:rsid w:val="482960B1"/>
    <w:rsid w:val="4A7B35D0"/>
    <w:rsid w:val="4B1F6DF2"/>
    <w:rsid w:val="4B6F5C61"/>
    <w:rsid w:val="4BCA036B"/>
    <w:rsid w:val="4C1415E6"/>
    <w:rsid w:val="4F1376B7"/>
    <w:rsid w:val="51B12184"/>
    <w:rsid w:val="5B606120"/>
    <w:rsid w:val="5B632824"/>
    <w:rsid w:val="63187F6A"/>
    <w:rsid w:val="643C6F6D"/>
    <w:rsid w:val="66CA10FA"/>
    <w:rsid w:val="6794675C"/>
    <w:rsid w:val="681475F9"/>
    <w:rsid w:val="69DC5C4C"/>
    <w:rsid w:val="6B8B26E8"/>
    <w:rsid w:val="6E565636"/>
    <w:rsid w:val="6E672517"/>
    <w:rsid w:val="6F707844"/>
    <w:rsid w:val="6F837104"/>
    <w:rsid w:val="70BF30CF"/>
    <w:rsid w:val="74343D24"/>
    <w:rsid w:val="747B5DF7"/>
    <w:rsid w:val="767C78A5"/>
    <w:rsid w:val="7C5F7DAC"/>
    <w:rsid w:val="7FD10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99"/>
    <w:pPr>
      <w:keepNext/>
      <w:keepLines/>
      <w:spacing w:before="260" w:after="260"/>
      <w:jc w:val="center"/>
      <w:outlineLvl w:val="2"/>
    </w:pPr>
    <w:rPr>
      <w:rFonts w:ascii="Times New Roman" w:hAnsi="Times New Roman"/>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qFormat/>
    <w:uiPriority w:val="0"/>
    <w:pPr>
      <w:jc w:val="left"/>
    </w:pPr>
  </w:style>
  <w:style w:type="paragraph" w:styleId="4">
    <w:name w:val="Body Text"/>
    <w:basedOn w:val="1"/>
    <w:unhideWhenUsed/>
    <w:qFormat/>
    <w:uiPriority w:val="99"/>
    <w:pPr>
      <w:spacing w:line="380" w:lineRule="exact"/>
    </w:pPr>
    <w:rPr>
      <w:rFonts w:ascii="Times New Roman" w:hAnsi="Times New Roman"/>
      <w:sz w:val="24"/>
    </w:rPr>
  </w:style>
  <w:style w:type="paragraph" w:styleId="5">
    <w:name w:val="footer"/>
    <w:basedOn w:val="1"/>
    <w:link w:val="22"/>
    <w:qFormat/>
    <w:uiPriority w:val="0"/>
    <w:pPr>
      <w:tabs>
        <w:tab w:val="center" w:pos="4153"/>
        <w:tab w:val="right" w:pos="8306"/>
      </w:tabs>
      <w:snapToGrid w:val="0"/>
      <w:jc w:val="left"/>
    </w:pPr>
    <w:rPr>
      <w:sz w:val="18"/>
      <w:szCs w:val="18"/>
    </w:rPr>
  </w:style>
  <w:style w:type="paragraph" w:styleId="6">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kern w:val="0"/>
      <w:sz w:val="24"/>
    </w:rPr>
  </w:style>
  <w:style w:type="paragraph" w:styleId="8">
    <w:name w:val="annotation subject"/>
    <w:basedOn w:val="3"/>
    <w:next w:val="3"/>
    <w:link w:val="20"/>
    <w:qFormat/>
    <w:uiPriority w:val="0"/>
    <w:rPr>
      <w:b/>
      <w:bCs/>
    </w:rPr>
  </w:style>
  <w:style w:type="character" w:styleId="11">
    <w:name w:val="annotation reference"/>
    <w:basedOn w:val="10"/>
    <w:qFormat/>
    <w:uiPriority w:val="0"/>
    <w:rPr>
      <w:sz w:val="21"/>
      <w:szCs w:val="21"/>
    </w:rPr>
  </w:style>
  <w:style w:type="paragraph" w:styleId="12">
    <w:name w:val="List Paragraph"/>
    <w:basedOn w:val="1"/>
    <w:qFormat/>
    <w:uiPriority w:val="34"/>
    <w:pPr>
      <w:ind w:firstLine="420" w:firstLineChars="200"/>
    </w:pPr>
    <w:rPr>
      <w:rFonts w:ascii="Times New Roman" w:hAnsi="Times New Roman"/>
      <w:sz w:val="24"/>
      <w:szCs w:val="24"/>
    </w:rPr>
  </w:style>
  <w:style w:type="character" w:customStyle="1" w:styleId="13">
    <w:name w:val="font71"/>
    <w:basedOn w:val="10"/>
    <w:qFormat/>
    <w:uiPriority w:val="0"/>
    <w:rPr>
      <w:rFonts w:hint="eastAsia" w:ascii="宋体" w:hAnsi="宋体" w:eastAsia="宋体" w:cs="宋体"/>
      <w:color w:val="000000"/>
      <w:sz w:val="20"/>
      <w:szCs w:val="20"/>
      <w:u w:val="none"/>
    </w:rPr>
  </w:style>
  <w:style w:type="character" w:customStyle="1" w:styleId="14">
    <w:name w:val="font101"/>
    <w:basedOn w:val="10"/>
    <w:qFormat/>
    <w:uiPriority w:val="0"/>
    <w:rPr>
      <w:rFonts w:hint="eastAsia" w:ascii="宋体" w:hAnsi="宋体" w:eastAsia="宋体" w:cs="宋体"/>
      <w:color w:val="auto"/>
      <w:sz w:val="20"/>
      <w:szCs w:val="20"/>
      <w:u w:val="none"/>
    </w:rPr>
  </w:style>
  <w:style w:type="character" w:customStyle="1" w:styleId="15">
    <w:name w:val="font61"/>
    <w:basedOn w:val="10"/>
    <w:qFormat/>
    <w:uiPriority w:val="0"/>
    <w:rPr>
      <w:rFonts w:hint="eastAsia" w:ascii="宋体" w:hAnsi="宋体" w:eastAsia="宋体" w:cs="宋体"/>
      <w:color w:val="000000"/>
      <w:sz w:val="20"/>
      <w:szCs w:val="20"/>
      <w:u w:val="none"/>
    </w:rPr>
  </w:style>
  <w:style w:type="character" w:customStyle="1" w:styleId="16">
    <w:name w:val="font81"/>
    <w:basedOn w:val="10"/>
    <w:qFormat/>
    <w:uiPriority w:val="0"/>
    <w:rPr>
      <w:rFonts w:hint="eastAsia" w:ascii="宋体" w:hAnsi="宋体" w:eastAsia="宋体" w:cs="宋体"/>
      <w:b/>
      <w:color w:val="1F497D"/>
      <w:sz w:val="20"/>
      <w:szCs w:val="20"/>
      <w:u w:val="none"/>
    </w:rPr>
  </w:style>
  <w:style w:type="character" w:customStyle="1" w:styleId="17">
    <w:name w:val="font91"/>
    <w:basedOn w:val="10"/>
    <w:qFormat/>
    <w:uiPriority w:val="0"/>
    <w:rPr>
      <w:rFonts w:hint="eastAsia" w:ascii="宋体" w:hAnsi="宋体" w:eastAsia="宋体" w:cs="宋体"/>
      <w:b/>
      <w:color w:val="FF0000"/>
      <w:sz w:val="20"/>
      <w:szCs w:val="20"/>
      <w:u w:val="none"/>
    </w:rPr>
  </w:style>
  <w:style w:type="character" w:customStyle="1" w:styleId="18">
    <w:name w:val="font51"/>
    <w:basedOn w:val="10"/>
    <w:qFormat/>
    <w:uiPriority w:val="0"/>
    <w:rPr>
      <w:rFonts w:hint="eastAsia" w:ascii="宋体" w:hAnsi="宋体" w:eastAsia="宋体" w:cs="宋体"/>
      <w:color w:val="000000"/>
      <w:sz w:val="20"/>
      <w:szCs w:val="20"/>
      <w:u w:val="none"/>
    </w:rPr>
  </w:style>
  <w:style w:type="character" w:customStyle="1" w:styleId="19">
    <w:name w:val="批注文字 字符"/>
    <w:basedOn w:val="10"/>
    <w:link w:val="3"/>
    <w:qFormat/>
    <w:uiPriority w:val="0"/>
    <w:rPr>
      <w:rFonts w:ascii="Calibri" w:hAnsi="Calibri"/>
      <w:kern w:val="2"/>
      <w:sz w:val="21"/>
      <w:szCs w:val="22"/>
    </w:rPr>
  </w:style>
  <w:style w:type="character" w:customStyle="1" w:styleId="20">
    <w:name w:val="批注主题 字符"/>
    <w:basedOn w:val="19"/>
    <w:link w:val="8"/>
    <w:qFormat/>
    <w:uiPriority w:val="0"/>
    <w:rPr>
      <w:rFonts w:ascii="Calibri" w:hAnsi="Calibri"/>
      <w:b/>
      <w:bCs/>
      <w:kern w:val="2"/>
      <w:sz w:val="21"/>
      <w:szCs w:val="22"/>
    </w:rPr>
  </w:style>
  <w:style w:type="character" w:customStyle="1" w:styleId="21">
    <w:name w:val="页眉 字符"/>
    <w:basedOn w:val="10"/>
    <w:link w:val="6"/>
    <w:qFormat/>
    <w:uiPriority w:val="0"/>
    <w:rPr>
      <w:rFonts w:ascii="Calibri" w:hAnsi="Calibri"/>
      <w:kern w:val="2"/>
      <w:sz w:val="18"/>
      <w:szCs w:val="18"/>
    </w:rPr>
  </w:style>
  <w:style w:type="character" w:customStyle="1" w:styleId="22">
    <w:name w:val="页脚 字符"/>
    <w:basedOn w:val="10"/>
    <w:link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1505</Words>
  <Characters>1581</Characters>
  <Lines>281</Lines>
  <Paragraphs>223</Paragraphs>
  <TotalTime>28</TotalTime>
  <ScaleCrop>false</ScaleCrop>
  <LinksUpToDate>false</LinksUpToDate>
  <CharactersWithSpaces>1703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2025-03-17T05:47:00Z</dcterms:created>
  <dc:creator>chenyaohui</dc:creator>
  <cp:lastModifiedBy>招标中心-Zhouyz</cp:lastModifiedBy>
  <dcterms:modified xsi:type="dcterms:W3CDTF">2026-02-06T03:33:15Z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eyJoZGlkIjoiMGZlYjQ5NGVjYjRhYWI3OTY4ZTFjM2MxMmM4MWQ3NWIiLCJ1c2VySWQiOiI0MDU0MzUwMTIifQ==</vt:lpwstr>
  </property>
  <property fmtid="{D5CDD505-2E9C-101B-9397-08002B2CF9AE}" pid="4" name="ICV">
    <vt:lpwstr>16F59B91A7D848F2B885B7FA1B22ABE9_13</vt:lpwstr>
  </property>
</Properties>
</file>