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EDE33">
      <w:pPr>
        <w:pStyle w:val="2"/>
        <w:keepNext w:val="0"/>
        <w:keepLines w:val="0"/>
        <w:adjustRightInd w:val="0"/>
        <w:snapToGrid w:val="0"/>
        <w:spacing w:before="0" w:after="0"/>
        <w:rPr>
          <w:rFonts w:hint="eastAsia" w:ascii="宋体" w:hAnsi="宋体"/>
          <w:sz w:val="44"/>
          <w:szCs w:val="44"/>
        </w:rPr>
      </w:pPr>
      <w:r>
        <w:rPr>
          <w:rFonts w:hint="eastAsia" w:ascii="宋体" w:hAnsi="宋体"/>
          <w:sz w:val="44"/>
          <w:szCs w:val="44"/>
        </w:rPr>
        <w:t>金龙汽车集团-年度定制包装矿泉水项目</w:t>
      </w:r>
    </w:p>
    <w:p w14:paraId="13275817">
      <w:pPr>
        <w:pStyle w:val="2"/>
        <w:keepNext w:val="0"/>
        <w:keepLines w:val="0"/>
        <w:adjustRightInd w:val="0"/>
        <w:snapToGrid w:val="0"/>
        <w:spacing w:before="0" w:after="0"/>
        <w:rPr>
          <w:rFonts w:hint="eastAsia" w:ascii="宋体" w:hAnsi="宋体"/>
          <w:sz w:val="44"/>
          <w:szCs w:val="44"/>
        </w:rPr>
      </w:pPr>
      <w:r>
        <w:rPr>
          <w:rFonts w:hint="eastAsia" w:ascii="宋体" w:hAnsi="宋体"/>
          <w:sz w:val="44"/>
          <w:szCs w:val="44"/>
        </w:rPr>
        <w:t>评审方案</w:t>
      </w:r>
    </w:p>
    <w:p w14:paraId="676B2120">
      <w:pPr>
        <w:spacing w:before="156" w:beforeLines="50" w:after="156" w:afterLines="50" w:line="440" w:lineRule="exact"/>
        <w:rPr>
          <w:rFonts w:hint="eastAsia" w:ascii="宋体" w:hAnsi="宋体"/>
          <w:b/>
          <w:sz w:val="28"/>
          <w:szCs w:val="28"/>
        </w:rPr>
      </w:pPr>
      <w:r>
        <w:rPr>
          <w:rFonts w:ascii="宋体" w:hAnsi="宋体"/>
          <w:b/>
          <w:sz w:val="28"/>
          <w:szCs w:val="28"/>
          <w:lang w:val="zh-CN"/>
        </w:rPr>
        <w:t>一、评标方法：</w:t>
      </w:r>
      <w:r>
        <w:rPr>
          <w:rFonts w:hint="eastAsia" w:ascii="宋体" w:hAnsi="宋体"/>
          <w:b/>
          <w:sz w:val="28"/>
          <w:szCs w:val="28"/>
        </w:rPr>
        <w:t xml:space="preserve"> </w:t>
      </w:r>
    </w:p>
    <w:p w14:paraId="13E2C05D">
      <w:pPr>
        <w:spacing w:after="0" w:line="360" w:lineRule="auto"/>
        <w:ind w:firstLine="480" w:firstLineChars="200"/>
        <w:rPr>
          <w:rFonts w:hint="eastAsia" w:ascii="宋体" w:hAnsi="宋体"/>
          <w:sz w:val="24"/>
          <w:lang w:val="zh-CN"/>
        </w:rPr>
      </w:pPr>
      <w:r>
        <w:rPr>
          <w:rFonts w:ascii="宋体" w:hAnsi="宋体"/>
          <w:sz w:val="24"/>
          <w:lang w:val="zh-CN"/>
        </w:rPr>
        <w:t>对所有投标人的</w:t>
      </w:r>
      <w:r>
        <w:rPr>
          <w:rFonts w:hint="eastAsia" w:ascii="宋体" w:hAnsi="宋体"/>
          <w:sz w:val="24"/>
          <w:lang w:val="zh-CN"/>
        </w:rPr>
        <w:t>样品和</w:t>
      </w:r>
      <w:r>
        <w:rPr>
          <w:rFonts w:ascii="宋体" w:hAnsi="宋体"/>
          <w:sz w:val="24"/>
          <w:lang w:val="zh-CN"/>
        </w:rPr>
        <w:t>投标文件评审，都采用相同的程序和标准。</w:t>
      </w:r>
    </w:p>
    <w:p w14:paraId="7CFA6D4C">
      <w:pPr>
        <w:pStyle w:val="16"/>
        <w:numPr>
          <w:ilvl w:val="0"/>
          <w:numId w:val="1"/>
        </w:numPr>
        <w:spacing w:after="0" w:line="360" w:lineRule="auto"/>
        <w:ind w:left="0" w:firstLine="480"/>
        <w:rPr>
          <w:rFonts w:hint="eastAsia" w:ascii="宋体" w:hAnsi="宋体"/>
        </w:rPr>
      </w:pPr>
      <w:r>
        <w:rPr>
          <w:rFonts w:hint="eastAsia" w:ascii="宋体" w:hAnsi="宋体"/>
        </w:rPr>
        <w:t>采购评审小组成员组成：</w:t>
      </w:r>
    </w:p>
    <w:p w14:paraId="2E4001AF">
      <w:pPr>
        <w:spacing w:after="0" w:line="360" w:lineRule="auto"/>
        <w:ind w:firstLine="480" w:firstLineChars="200"/>
        <w:rPr>
          <w:rFonts w:hint="eastAsia" w:ascii="宋体" w:hAnsi="宋体"/>
          <w:sz w:val="24"/>
        </w:rPr>
      </w:pPr>
      <w:r>
        <w:rPr>
          <w:rFonts w:hint="eastAsia" w:ascii="宋体" w:hAnsi="宋体"/>
          <w:sz w:val="24"/>
        </w:rPr>
        <w:t>开</w:t>
      </w:r>
      <w:bookmarkStart w:id="0" w:name="OLE_LINK2"/>
      <w:r>
        <w:rPr>
          <w:rFonts w:hint="eastAsia" w:ascii="宋体" w:hAnsi="宋体"/>
          <w:sz w:val="24"/>
        </w:rPr>
        <w:t>标评审人员为厦门金龙汽车集团股份有限</w:t>
      </w:r>
      <w:bookmarkStart w:id="5" w:name="_GoBack"/>
      <w:bookmarkEnd w:id="5"/>
      <w:r>
        <w:rPr>
          <w:rFonts w:hint="eastAsia" w:ascii="宋体" w:hAnsi="宋体"/>
          <w:sz w:val="24"/>
        </w:rPr>
        <w:t>公司1人、</w:t>
      </w:r>
      <w:bookmarkStart w:id="1" w:name="OLE_LINK1"/>
      <w:r>
        <w:rPr>
          <w:rFonts w:hint="eastAsia" w:ascii="宋体" w:hAnsi="宋体"/>
          <w:sz w:val="24"/>
          <w:lang w:eastAsia="zh-CN"/>
        </w:rPr>
        <w:t>厦门</w:t>
      </w:r>
      <w:r>
        <w:rPr>
          <w:rFonts w:hint="eastAsia" w:ascii="宋体" w:hAnsi="宋体"/>
          <w:sz w:val="24"/>
        </w:rPr>
        <w:t>金龙联合汽车工业有限公司</w:t>
      </w:r>
      <w:bookmarkEnd w:id="1"/>
      <w:r>
        <w:rPr>
          <w:rFonts w:hint="eastAsia" w:ascii="宋体" w:hAnsi="宋体"/>
          <w:sz w:val="24"/>
        </w:rPr>
        <w:t>1人、厦门金龙旅行车有限公司1人、厦门金龙汽车智能科技有限公司1人、</w:t>
      </w:r>
      <w:r>
        <w:rPr>
          <w:rFonts w:ascii="Times New Roman" w:hAnsi="Times New Roman"/>
          <w:sz w:val="24"/>
        </w:rPr>
        <w:t>‌</w:t>
      </w:r>
      <w:r>
        <w:rPr>
          <w:rFonts w:ascii="宋体" w:hAnsi="宋体"/>
          <w:sz w:val="24"/>
        </w:rPr>
        <w:t>厦门金龙汽车座椅有限公司</w:t>
      </w:r>
      <w:r>
        <w:rPr>
          <w:rFonts w:hint="eastAsia" w:ascii="宋体" w:hAnsi="宋体"/>
          <w:sz w:val="24"/>
        </w:rPr>
        <w:t>1人，共5人组成的评审小组；</w:t>
      </w:r>
      <w:bookmarkStart w:id="2" w:name="OLE_LINK3"/>
      <w:r>
        <w:rPr>
          <w:rFonts w:hint="eastAsia" w:ascii="宋体" w:hAnsi="宋体"/>
          <w:sz w:val="24"/>
        </w:rPr>
        <w:t>监标人员由</w:t>
      </w:r>
      <w:r>
        <w:rPr>
          <w:rFonts w:hint="eastAsia" w:ascii="宋体" w:hAnsi="宋体"/>
          <w:sz w:val="24"/>
          <w:lang w:eastAsia="zh-CN"/>
        </w:rPr>
        <w:t>厦门</w:t>
      </w:r>
      <w:r>
        <w:rPr>
          <w:rFonts w:hint="eastAsia" w:ascii="宋体" w:hAnsi="宋体"/>
          <w:sz w:val="24"/>
        </w:rPr>
        <w:t>金龙联合汽车工业有限公司招标中心1人担任。</w:t>
      </w:r>
    </w:p>
    <w:bookmarkEnd w:id="0"/>
    <w:bookmarkEnd w:id="2"/>
    <w:p w14:paraId="688D60D3">
      <w:pPr>
        <w:pStyle w:val="16"/>
        <w:numPr>
          <w:ilvl w:val="0"/>
          <w:numId w:val="1"/>
        </w:numPr>
        <w:spacing w:after="0" w:line="360" w:lineRule="auto"/>
        <w:ind w:left="0" w:firstLine="480"/>
        <w:rPr>
          <w:rFonts w:hint="eastAsia" w:ascii="宋体" w:hAnsi="宋体"/>
        </w:rPr>
      </w:pPr>
      <w:r>
        <w:rPr>
          <w:rFonts w:hint="eastAsia" w:ascii="宋体" w:hAnsi="宋体"/>
        </w:rPr>
        <w:t>资格性符合性评审：</w:t>
      </w:r>
    </w:p>
    <w:p w14:paraId="12C87F15">
      <w:pPr>
        <w:spacing w:after="0" w:line="360" w:lineRule="auto"/>
        <w:ind w:firstLine="480" w:firstLineChars="200"/>
        <w:rPr>
          <w:rFonts w:hint="eastAsia" w:ascii="宋体" w:hAnsi="宋体"/>
          <w:sz w:val="24"/>
          <w:szCs w:val="24"/>
        </w:rPr>
      </w:pPr>
      <w:r>
        <w:rPr>
          <w:rFonts w:hint="eastAsia" w:ascii="宋体" w:hAnsi="宋体"/>
          <w:sz w:val="24"/>
          <w:szCs w:val="24"/>
        </w:rPr>
        <w:t>开标评审小组成员</w:t>
      </w:r>
      <w:r>
        <w:rPr>
          <w:rFonts w:ascii="宋体" w:hAnsi="宋体"/>
          <w:sz w:val="24"/>
          <w:szCs w:val="24"/>
        </w:rPr>
        <w:t>根据</w:t>
      </w:r>
      <w:r>
        <w:rPr>
          <w:rFonts w:hint="eastAsia" w:ascii="宋体" w:hAnsi="宋体"/>
          <w:sz w:val="24"/>
          <w:szCs w:val="24"/>
        </w:rPr>
        <w:t>招标文件资格审核的</w:t>
      </w:r>
      <w:r>
        <w:rPr>
          <w:rFonts w:ascii="宋体" w:hAnsi="宋体"/>
          <w:sz w:val="24"/>
          <w:szCs w:val="24"/>
        </w:rPr>
        <w:t>要求</w:t>
      </w:r>
      <w:r>
        <w:rPr>
          <w:rFonts w:hint="eastAsia" w:ascii="宋体" w:hAnsi="宋体"/>
          <w:sz w:val="24"/>
          <w:szCs w:val="24"/>
        </w:rPr>
        <w:t>（评审项目、内容、相关佐证材料）</w:t>
      </w:r>
      <w:r>
        <w:rPr>
          <w:rFonts w:ascii="宋体" w:hAnsi="宋体"/>
          <w:sz w:val="24"/>
          <w:szCs w:val="24"/>
        </w:rPr>
        <w:t>，审核</w:t>
      </w:r>
      <w:r>
        <w:rPr>
          <w:rFonts w:hint="eastAsia" w:ascii="宋体" w:hAnsi="宋体"/>
          <w:sz w:val="24"/>
          <w:szCs w:val="24"/>
        </w:rPr>
        <w:t>和评审</w:t>
      </w:r>
      <w:r>
        <w:rPr>
          <w:rFonts w:ascii="宋体" w:hAnsi="宋体"/>
          <w:sz w:val="24"/>
          <w:szCs w:val="24"/>
        </w:rPr>
        <w:t>各</w:t>
      </w:r>
      <w:r>
        <w:rPr>
          <w:rFonts w:hint="eastAsia" w:ascii="宋体" w:hAnsi="宋体"/>
          <w:sz w:val="24"/>
          <w:szCs w:val="24"/>
        </w:rPr>
        <w:t>投标方的</w:t>
      </w:r>
      <w:r>
        <w:rPr>
          <w:rFonts w:ascii="宋体" w:hAnsi="宋体"/>
          <w:sz w:val="24"/>
          <w:szCs w:val="24"/>
        </w:rPr>
        <w:t>投标文件</w:t>
      </w:r>
      <w:r>
        <w:rPr>
          <w:rFonts w:hint="eastAsia" w:ascii="宋体" w:hAnsi="宋体"/>
          <w:sz w:val="24"/>
          <w:szCs w:val="24"/>
        </w:rPr>
        <w:t>的资格部分</w:t>
      </w:r>
      <w:r>
        <w:rPr>
          <w:rFonts w:ascii="宋体" w:hAnsi="宋体"/>
          <w:sz w:val="24"/>
          <w:szCs w:val="24"/>
        </w:rPr>
        <w:t>是否合格、有效</w:t>
      </w:r>
      <w:r>
        <w:rPr>
          <w:rFonts w:hint="eastAsia" w:ascii="宋体" w:hAnsi="宋体"/>
          <w:sz w:val="24"/>
          <w:szCs w:val="24"/>
        </w:rPr>
        <w:t>（</w:t>
      </w:r>
      <w:r>
        <w:rPr>
          <w:rFonts w:ascii="宋体" w:hAnsi="宋体"/>
          <w:sz w:val="24"/>
          <w:szCs w:val="24"/>
        </w:rPr>
        <w:t>凡不符合专业条件要求</w:t>
      </w:r>
      <w:r>
        <w:rPr>
          <w:rFonts w:hint="eastAsia" w:ascii="宋体" w:hAnsi="宋体"/>
          <w:sz w:val="24"/>
          <w:szCs w:val="24"/>
        </w:rPr>
        <w:t>项</w:t>
      </w:r>
      <w:r>
        <w:rPr>
          <w:rFonts w:ascii="宋体" w:hAnsi="宋体"/>
          <w:sz w:val="24"/>
          <w:szCs w:val="24"/>
        </w:rPr>
        <w:t>和未实质性响应</w:t>
      </w:r>
      <w:r>
        <w:rPr>
          <w:rFonts w:hint="eastAsia" w:ascii="宋体" w:hAnsi="宋体"/>
          <w:sz w:val="24"/>
          <w:szCs w:val="24"/>
        </w:rPr>
        <w:t>资格审核文件</w:t>
      </w:r>
      <w:r>
        <w:rPr>
          <w:rFonts w:ascii="宋体" w:hAnsi="宋体"/>
          <w:sz w:val="24"/>
          <w:szCs w:val="24"/>
        </w:rPr>
        <w:t>要求的</w:t>
      </w:r>
      <w:r>
        <w:rPr>
          <w:rFonts w:hint="eastAsia" w:ascii="宋体" w:hAnsi="宋体"/>
          <w:sz w:val="24"/>
          <w:szCs w:val="24"/>
        </w:rPr>
        <w:t>内容项</w:t>
      </w:r>
      <w:r>
        <w:rPr>
          <w:rFonts w:ascii="宋体" w:hAnsi="宋体"/>
          <w:sz w:val="24"/>
          <w:szCs w:val="24"/>
        </w:rPr>
        <w:t>均</w:t>
      </w:r>
      <w:r>
        <w:rPr>
          <w:rFonts w:hint="eastAsia" w:ascii="宋体" w:hAnsi="宋体"/>
          <w:sz w:val="24"/>
          <w:szCs w:val="24"/>
        </w:rPr>
        <w:t>视为不合格）。</w:t>
      </w:r>
    </w:p>
    <w:p w14:paraId="30C008D8">
      <w:pPr>
        <w:spacing w:after="0" w:line="360" w:lineRule="auto"/>
        <w:ind w:firstLine="480" w:firstLineChars="200"/>
        <w:rPr>
          <w:rFonts w:hint="eastAsia" w:ascii="宋体" w:hAnsi="宋体"/>
          <w:sz w:val="24"/>
          <w:szCs w:val="24"/>
        </w:rPr>
      </w:pPr>
      <w:r>
        <w:rPr>
          <w:rFonts w:hint="eastAsia" w:ascii="宋体" w:hAnsi="宋体"/>
          <w:sz w:val="24"/>
          <w:szCs w:val="24"/>
        </w:rPr>
        <w:t>各投标方应根据</w:t>
      </w:r>
      <w:bookmarkStart w:id="3" w:name="OLE_LINK13"/>
      <w:r>
        <w:rPr>
          <w:rFonts w:hint="eastAsia" w:ascii="宋体" w:hAnsi="宋体"/>
          <w:sz w:val="24"/>
          <w:szCs w:val="24"/>
        </w:rPr>
        <w:t>“</w:t>
      </w:r>
      <w:r>
        <w:rPr>
          <w:rFonts w:hint="eastAsia" w:ascii="宋体" w:hAnsi="宋体"/>
          <w:b/>
          <w:bCs/>
          <w:sz w:val="24"/>
          <w:szCs w:val="24"/>
        </w:rPr>
        <w:t>四、招标进程安排</w:t>
      </w:r>
      <w:r>
        <w:rPr>
          <w:rFonts w:hint="eastAsia" w:ascii="宋体" w:hAnsi="宋体"/>
          <w:sz w:val="24"/>
          <w:szCs w:val="24"/>
        </w:rPr>
        <w:t>”</w:t>
      </w:r>
      <w:bookmarkEnd w:id="3"/>
      <w:r>
        <w:rPr>
          <w:rFonts w:hint="eastAsia" w:ascii="宋体" w:hAnsi="宋体"/>
          <w:sz w:val="24"/>
          <w:szCs w:val="24"/>
        </w:rPr>
        <w:t>在约定时间内提交拟供矿泉水样件及相应的水源地信息和</w:t>
      </w:r>
      <w:r>
        <w:rPr>
          <w:rFonts w:hint="eastAsia" w:ascii="宋体" w:hAnsi="宋体" w:cs="宋体"/>
          <w:kern w:val="0"/>
          <w:sz w:val="24"/>
          <w:szCs w:val="24"/>
        </w:rPr>
        <w:t>第三方盖章的</w:t>
      </w:r>
      <w:r>
        <w:rPr>
          <w:rFonts w:hint="eastAsia" w:ascii="宋体" w:hAnsi="宋体"/>
          <w:sz w:val="24"/>
          <w:szCs w:val="24"/>
        </w:rPr>
        <w:t>样件检测报告</w:t>
      </w:r>
      <w:r>
        <w:rPr>
          <w:rFonts w:hint="eastAsia" w:ascii="宋体" w:hAnsi="宋体" w:cs="宋体"/>
          <w:kern w:val="0"/>
          <w:sz w:val="24"/>
          <w:szCs w:val="24"/>
        </w:rPr>
        <w:t>（包含特征性矿物指标）</w:t>
      </w:r>
      <w:r>
        <w:rPr>
          <w:rFonts w:hint="eastAsia" w:ascii="宋体" w:hAnsi="宋体"/>
          <w:sz w:val="24"/>
          <w:szCs w:val="24"/>
        </w:rPr>
        <w:t>，监标人员将投标方提供的</w:t>
      </w:r>
      <w:bookmarkStart w:id="4" w:name="OLE_LINK30"/>
      <w:r>
        <w:rPr>
          <w:rFonts w:hint="eastAsia" w:ascii="宋体" w:hAnsi="宋体"/>
          <w:sz w:val="24"/>
          <w:szCs w:val="24"/>
        </w:rPr>
        <w:t>4</w:t>
      </w:r>
      <w:bookmarkEnd w:id="4"/>
      <w:r>
        <w:rPr>
          <w:rFonts w:hint="eastAsia" w:ascii="宋体" w:hAnsi="宋体"/>
          <w:sz w:val="24"/>
          <w:szCs w:val="24"/>
        </w:rPr>
        <w:t>瓶样件进行脱敏处理并密封编号，在开标日提供给开标评审小组评委进行符合性评审。根据开标评审小组对样件的品鉴评判（包含但不限于口感、包装形式等）进行符合性评审。</w:t>
      </w:r>
    </w:p>
    <w:p w14:paraId="5220137F">
      <w:pPr>
        <w:spacing w:after="0" w:line="360" w:lineRule="auto"/>
        <w:ind w:firstLine="480" w:firstLineChars="200"/>
        <w:rPr>
          <w:rFonts w:hint="eastAsia" w:ascii="宋体" w:hAnsi="宋体"/>
          <w:sz w:val="24"/>
          <w:szCs w:val="24"/>
          <w:lang w:val="zh-CN"/>
        </w:rPr>
      </w:pPr>
      <w:r>
        <w:rPr>
          <w:rFonts w:hint="eastAsia" w:ascii="宋体" w:hAnsi="宋体"/>
          <w:sz w:val="24"/>
          <w:szCs w:val="24"/>
        </w:rPr>
        <w:t>最终通过资格符合性审查的投标方入围下一阶段的投标价格评审。</w:t>
      </w:r>
    </w:p>
    <w:p w14:paraId="3398BE7D">
      <w:pPr>
        <w:pStyle w:val="16"/>
        <w:numPr>
          <w:ilvl w:val="0"/>
          <w:numId w:val="1"/>
        </w:numPr>
        <w:spacing w:after="0" w:line="360" w:lineRule="auto"/>
        <w:ind w:left="0" w:firstLine="480"/>
        <w:rPr>
          <w:rFonts w:hint="eastAsia" w:ascii="宋体" w:hAnsi="宋体"/>
          <w:lang w:val="zh-CN"/>
        </w:rPr>
      </w:pPr>
      <w:r>
        <w:rPr>
          <w:rFonts w:hint="eastAsia" w:ascii="宋体" w:hAnsi="宋体"/>
          <w:lang w:val="zh-CN"/>
        </w:rPr>
        <w:t>最终评审：</w:t>
      </w:r>
    </w:p>
    <w:p w14:paraId="05D0829A">
      <w:pPr>
        <w:spacing w:after="0" w:line="360" w:lineRule="auto"/>
        <w:ind w:firstLine="480" w:firstLineChars="200"/>
        <w:rPr>
          <w:rFonts w:hint="eastAsia" w:ascii="宋体" w:hAnsi="宋体"/>
          <w:sz w:val="24"/>
          <w:szCs w:val="24"/>
        </w:rPr>
      </w:pPr>
      <w:r>
        <w:rPr>
          <w:rFonts w:hint="eastAsia" w:ascii="宋体" w:hAnsi="宋体"/>
          <w:sz w:val="24"/>
          <w:szCs w:val="24"/>
        </w:rPr>
        <w:t>资格符合性审查确认后，开标评审小组根据投标方的商务报价文件，以项目总价T做为评审标的，按最低价评审法，对其投标方从低价到高价依次进行排名。</w:t>
      </w:r>
    </w:p>
    <w:p w14:paraId="2B2F0279">
      <w:pPr>
        <w:pStyle w:val="16"/>
        <w:numPr>
          <w:ilvl w:val="0"/>
          <w:numId w:val="1"/>
        </w:numPr>
        <w:spacing w:after="0" w:line="360" w:lineRule="auto"/>
        <w:ind w:left="0" w:firstLine="480"/>
        <w:rPr>
          <w:rFonts w:hint="eastAsia" w:ascii="宋体" w:hAnsi="宋体"/>
          <w:lang w:val="zh-CN"/>
        </w:rPr>
      </w:pPr>
      <w:r>
        <w:rPr>
          <w:rFonts w:hint="eastAsia" w:ascii="宋体" w:hAnsi="宋体"/>
        </w:rPr>
        <w:t>评审推荐：</w:t>
      </w:r>
    </w:p>
    <w:p w14:paraId="457E9C18">
      <w:pPr>
        <w:spacing w:after="0" w:line="360" w:lineRule="auto"/>
        <w:ind w:firstLine="480" w:firstLineChars="200"/>
        <w:rPr>
          <w:rFonts w:hint="eastAsia" w:ascii="宋体" w:hAnsi="宋体"/>
          <w:sz w:val="24"/>
          <w:szCs w:val="24"/>
        </w:rPr>
      </w:pPr>
      <w:r>
        <w:rPr>
          <w:rFonts w:hint="eastAsia" w:ascii="宋体" w:hAnsi="宋体"/>
          <w:sz w:val="24"/>
          <w:szCs w:val="24"/>
        </w:rPr>
        <w:t>根据价格评审的最终结果，按照从低价到高价依次进行排名，得出评审结果、排名和推荐名单。</w:t>
      </w:r>
    </w:p>
    <w:p w14:paraId="25373124">
      <w:pPr>
        <w:spacing w:after="0" w:line="360" w:lineRule="auto"/>
        <w:ind w:firstLine="480" w:firstLineChars="200"/>
        <w:rPr>
          <w:rFonts w:hint="eastAsia" w:ascii="宋体" w:hAnsi="宋体"/>
          <w:sz w:val="24"/>
          <w:szCs w:val="24"/>
        </w:rPr>
      </w:pPr>
      <w:r>
        <w:rPr>
          <w:rFonts w:hint="eastAsia" w:ascii="宋体" w:hAnsi="宋体"/>
          <w:sz w:val="24"/>
          <w:szCs w:val="24"/>
        </w:rPr>
        <w:t>未入围的供应商将退还相应的未开启的商务报价文件投标资料。</w:t>
      </w:r>
    </w:p>
    <w:p w14:paraId="5165058C">
      <w:pPr>
        <w:spacing w:before="156" w:beforeLines="50" w:after="156" w:afterLines="50" w:line="440" w:lineRule="exact"/>
        <w:rPr>
          <w:rFonts w:hint="eastAsia" w:ascii="宋体" w:hAnsi="宋体"/>
          <w:b/>
          <w:sz w:val="28"/>
          <w:szCs w:val="28"/>
          <w:lang w:val="zh-CN"/>
        </w:rPr>
      </w:pPr>
      <w:r>
        <w:rPr>
          <w:rFonts w:hint="eastAsia" w:ascii="宋体" w:hAnsi="宋体"/>
          <w:b/>
          <w:sz w:val="28"/>
          <w:szCs w:val="28"/>
          <w:lang w:val="zh-CN"/>
        </w:rPr>
        <w:t>二、推荐中标候选人名单</w:t>
      </w:r>
    </w:p>
    <w:p w14:paraId="2B92B30A">
      <w:pPr>
        <w:spacing w:after="0" w:line="360" w:lineRule="auto"/>
        <w:ind w:firstLine="475" w:firstLineChars="198"/>
        <w:rPr>
          <w:rFonts w:hint="eastAsia" w:ascii="宋体" w:hAnsi="宋体" w:cs="宋体"/>
          <w:b/>
          <w:sz w:val="24"/>
          <w:lang w:val="zh-CN"/>
        </w:rPr>
      </w:pPr>
      <w:r>
        <w:rPr>
          <w:rFonts w:ascii="宋体" w:hAnsi="宋体" w:cs="宋体"/>
          <w:sz w:val="24"/>
        </w:rPr>
        <w:t>1、</w:t>
      </w:r>
      <w:r>
        <w:rPr>
          <w:rFonts w:hint="eastAsia" w:ascii="宋体" w:hAnsi="宋体" w:cs="宋体"/>
          <w:sz w:val="24"/>
        </w:rPr>
        <w:t>项目的中标候选人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rPr>
        <w:t>3</w:t>
      </w:r>
      <w:r>
        <w:rPr>
          <w:rFonts w:ascii="宋体" w:hAnsi="宋体" w:cs="宋体"/>
          <w:b/>
          <w:sz w:val="24"/>
          <w:u w:val="single"/>
        </w:rPr>
        <w:t xml:space="preserve"> </w:t>
      </w:r>
      <w:r>
        <w:rPr>
          <w:rFonts w:ascii="宋体" w:hAnsi="宋体" w:cs="宋体"/>
          <w:sz w:val="24"/>
        </w:rPr>
        <w:t>个。</w:t>
      </w:r>
    </w:p>
    <w:p w14:paraId="35EB3EAE">
      <w:pPr>
        <w:spacing w:after="0" w:line="360" w:lineRule="auto"/>
        <w:ind w:firstLine="504" w:firstLineChars="21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w:t>
      </w:r>
      <w:r>
        <w:rPr>
          <w:rFonts w:hint="eastAsia" w:ascii="宋体" w:hAnsi="宋体" w:cs="宋体"/>
          <w:sz w:val="24"/>
        </w:rPr>
        <w:t>入围评审、</w:t>
      </w:r>
      <w:r>
        <w:rPr>
          <w:rFonts w:ascii="宋体" w:hAnsi="宋体" w:cs="宋体"/>
          <w:sz w:val="24"/>
        </w:rPr>
        <w:t>投标文件</w:t>
      </w:r>
      <w:r>
        <w:rPr>
          <w:rFonts w:hint="eastAsia" w:ascii="宋体" w:hAnsi="宋体"/>
          <w:sz w:val="24"/>
        </w:rPr>
        <w:t>资格性符合性审核</w:t>
      </w:r>
      <w:r>
        <w:rPr>
          <w:rFonts w:ascii="宋体" w:hAnsi="宋体" w:cs="宋体"/>
          <w:sz w:val="24"/>
        </w:rPr>
        <w:t>、澄清有关问题、比较与评价评标程序后，按以下办法推荐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w:t>
      </w:r>
      <w:r>
        <w:rPr>
          <w:rFonts w:hint="eastAsia" w:ascii="宋体" w:hAnsi="宋体" w:cs="宋体"/>
          <w:bCs/>
          <w:sz w:val="24"/>
        </w:rPr>
        <w:t>商务价格评审</w:t>
      </w:r>
      <w:r>
        <w:rPr>
          <w:rFonts w:ascii="宋体" w:hAnsi="宋体" w:cs="宋体"/>
          <w:bCs/>
          <w:sz w:val="24"/>
        </w:rPr>
        <w:t>得分由高到低顺序排列</w:t>
      </w:r>
      <w:r>
        <w:rPr>
          <w:rFonts w:hint="eastAsia" w:ascii="宋体" w:hAnsi="宋体" w:cs="宋体"/>
          <w:bCs/>
          <w:sz w:val="24"/>
        </w:rPr>
        <w:t>；商务价格评审得分相同的</w:t>
      </w:r>
      <w:r>
        <w:rPr>
          <w:rFonts w:ascii="宋体" w:hAnsi="宋体" w:cs="宋体"/>
          <w:bCs/>
          <w:sz w:val="24"/>
        </w:rPr>
        <w:t>，</w:t>
      </w:r>
      <w:r>
        <w:rPr>
          <w:rFonts w:hint="eastAsia" w:ascii="宋体" w:hAnsi="宋体" w:cs="宋体"/>
          <w:bCs/>
          <w:sz w:val="24"/>
        </w:rPr>
        <w:t>将</w:t>
      </w:r>
      <w:r>
        <w:rPr>
          <w:rFonts w:ascii="宋体" w:hAnsi="宋体" w:cs="宋体"/>
          <w:bCs/>
          <w:sz w:val="24"/>
        </w:rPr>
        <w:t>按</w:t>
      </w:r>
      <w:r>
        <w:rPr>
          <w:rFonts w:hint="eastAsia" w:ascii="宋体" w:hAnsi="宋体" w:cs="宋体"/>
          <w:bCs/>
          <w:sz w:val="24"/>
        </w:rPr>
        <w:t>投标方入围评审排名的得分</w:t>
      </w:r>
      <w:r>
        <w:rPr>
          <w:rFonts w:ascii="宋体" w:hAnsi="宋体" w:cs="宋体"/>
          <w:bCs/>
          <w:sz w:val="24"/>
        </w:rPr>
        <w:t>由高到低顺序排列</w:t>
      </w:r>
      <w:r>
        <w:rPr>
          <w:rFonts w:hint="eastAsia" w:ascii="宋体" w:hAnsi="宋体" w:cs="宋体"/>
          <w:bCs/>
          <w:sz w:val="24"/>
        </w:rPr>
        <w:t>。</w:t>
      </w:r>
    </w:p>
    <w:p w14:paraId="1CD06DF5">
      <w:pPr>
        <w:spacing w:before="156" w:beforeLines="50" w:after="0" w:line="360" w:lineRule="auto"/>
        <w:rPr>
          <w:rFonts w:hint="eastAsia" w:ascii="宋体" w:hAnsi="宋体"/>
          <w:b/>
          <w:sz w:val="28"/>
          <w:szCs w:val="28"/>
          <w:lang w:val="zh-CN"/>
        </w:rPr>
      </w:pPr>
      <w:r>
        <w:rPr>
          <w:rFonts w:ascii="宋体" w:hAnsi="宋体"/>
          <w:b/>
          <w:sz w:val="28"/>
          <w:szCs w:val="28"/>
          <w:lang w:val="zh-CN"/>
        </w:rPr>
        <w:t>三、定标原则</w:t>
      </w:r>
    </w:p>
    <w:p w14:paraId="03171431">
      <w:pPr>
        <w:spacing w:after="0" w:line="360" w:lineRule="auto"/>
        <w:ind w:firstLine="482" w:firstLineChars="200"/>
        <w:rPr>
          <w:rFonts w:hint="eastAsia" w:ascii="宋体" w:hAnsi="宋体"/>
          <w:b/>
          <w:sz w:val="24"/>
          <w:szCs w:val="24"/>
          <w:lang w:val="zh-CN"/>
        </w:rPr>
      </w:pPr>
      <w:r>
        <w:rPr>
          <w:rFonts w:ascii="宋体" w:hAnsi="宋体"/>
          <w:b/>
          <w:sz w:val="24"/>
          <w:szCs w:val="24"/>
          <w:lang w:val="zh-CN"/>
        </w:rPr>
        <w:t>确定中标供应商数量：</w:t>
      </w:r>
      <w:r>
        <w:rPr>
          <w:rFonts w:ascii="宋体" w:hAnsi="宋体"/>
          <w:b/>
          <w:sz w:val="24"/>
          <w:szCs w:val="24"/>
          <w:u w:val="single"/>
          <w:lang w:val="zh-CN"/>
        </w:rPr>
        <w:t xml:space="preserve"> </w:t>
      </w:r>
      <w:r>
        <w:rPr>
          <w:rFonts w:ascii="宋体" w:hAnsi="宋体"/>
          <w:b/>
          <w:sz w:val="24"/>
          <w:szCs w:val="24"/>
          <w:u w:val="single"/>
        </w:rPr>
        <w:t>1</w:t>
      </w:r>
      <w:r>
        <w:rPr>
          <w:rFonts w:ascii="宋体" w:hAnsi="宋体"/>
          <w:b/>
          <w:sz w:val="24"/>
          <w:szCs w:val="24"/>
          <w:u w:val="single"/>
          <w:lang w:val="zh-CN"/>
        </w:rPr>
        <w:t xml:space="preserve"> </w:t>
      </w:r>
      <w:r>
        <w:rPr>
          <w:rFonts w:ascii="宋体" w:hAnsi="宋体"/>
          <w:b/>
          <w:sz w:val="24"/>
          <w:szCs w:val="24"/>
          <w:lang w:val="zh-CN"/>
        </w:rPr>
        <w:t>个。</w:t>
      </w:r>
    </w:p>
    <w:p w14:paraId="276E5A85">
      <w:pPr>
        <w:spacing w:after="0" w:line="360" w:lineRule="auto"/>
        <w:ind w:firstLine="480" w:firstLineChars="200"/>
        <w:rPr>
          <w:rFonts w:hint="eastAsia" w:ascii="宋体" w:hAnsi="宋体"/>
          <w:sz w:val="24"/>
          <w:szCs w:val="24"/>
        </w:rPr>
      </w:pPr>
      <w:r>
        <w:rPr>
          <w:rFonts w:hint="eastAsia" w:ascii="宋体" w:hAnsi="宋体"/>
          <w:sz w:val="24"/>
          <w:szCs w:val="24"/>
        </w:rPr>
        <w:t>1、招标方根据评标报告报厦门</w:t>
      </w:r>
      <w:r>
        <w:rPr>
          <w:rFonts w:hint="eastAsia" w:ascii="宋体" w:hAnsi="宋体"/>
          <w:sz w:val="24"/>
        </w:rPr>
        <w:t>金龙汽车集团</w:t>
      </w:r>
      <w:r>
        <w:rPr>
          <w:rFonts w:hint="eastAsia" w:ascii="宋体" w:hAnsi="宋体"/>
          <w:sz w:val="24"/>
          <w:szCs w:val="24"/>
        </w:rPr>
        <w:t>审批后确定中标人。定标的最终解释权和自主权归招标方和</w:t>
      </w:r>
      <w:r>
        <w:rPr>
          <w:rFonts w:hint="eastAsia" w:ascii="宋体" w:hAnsi="宋体"/>
          <w:sz w:val="24"/>
        </w:rPr>
        <w:t>金龙汽车集团</w:t>
      </w:r>
      <w:r>
        <w:rPr>
          <w:rFonts w:hint="eastAsia" w:ascii="宋体" w:hAnsi="宋体"/>
          <w:sz w:val="24"/>
          <w:szCs w:val="24"/>
        </w:rPr>
        <w:t>。</w:t>
      </w:r>
    </w:p>
    <w:p w14:paraId="4F935511">
      <w:pPr>
        <w:spacing w:after="0" w:line="360" w:lineRule="auto"/>
        <w:ind w:firstLine="480" w:firstLineChars="200"/>
        <w:rPr>
          <w:rFonts w:hint="eastAsia" w:ascii="宋体" w:hAnsi="宋体"/>
          <w:sz w:val="24"/>
          <w:szCs w:val="24"/>
        </w:rPr>
      </w:pPr>
      <w:r>
        <w:rPr>
          <w:rFonts w:hint="eastAsia" w:ascii="宋体" w:hAnsi="宋体"/>
          <w:sz w:val="24"/>
          <w:szCs w:val="24"/>
        </w:rPr>
        <w:t>2、如有必要招标方可决定到中标候选人处对招标文件要求进行实地评审和确认，投标方应予以配合，对存在投标方实际情况与投标文件不一致的，招标方有权中止招标程序及中标人相应合同，启用备选中标人执行或重新招标。</w:t>
      </w:r>
    </w:p>
    <w:p w14:paraId="62335938">
      <w:pPr>
        <w:spacing w:after="0" w:line="360" w:lineRule="auto"/>
        <w:ind w:firstLine="480" w:firstLineChars="200"/>
        <w:rPr>
          <w:rFonts w:hint="eastAsia" w:ascii="宋体" w:hAnsi="宋体" w:cs="宋体"/>
          <w:sz w:val="24"/>
          <w:szCs w:val="24"/>
        </w:rPr>
      </w:pPr>
      <w:r>
        <w:rPr>
          <w:rFonts w:hint="eastAsia" w:ascii="宋体" w:hAnsi="宋体"/>
          <w:sz w:val="24"/>
          <w:szCs w:val="24"/>
        </w:rPr>
        <w:t>3、在中标人无法通过现场审核或正常签订及履行合同的情况下，采购人有权依照中标候选人名单排序顺延其他中标候选人为中标人或者重新组织招标</w:t>
      </w:r>
      <w:r>
        <w:rPr>
          <w:rFonts w:hint="eastAsia" w:ascii="宋体" w:hAnsi="宋体" w:cs="宋体"/>
          <w:sz w:val="24"/>
          <w:szCs w:val="24"/>
        </w:rPr>
        <w:t>。</w:t>
      </w:r>
    </w:p>
    <w:p w14:paraId="183FBDAE">
      <w:pPr>
        <w:spacing w:after="0" w:line="360" w:lineRule="auto"/>
        <w:ind w:firstLine="482" w:firstLineChars="200"/>
        <w:rPr>
          <w:rFonts w:hint="eastAsia" w:ascii="宋体" w:hAnsi="宋体"/>
          <w:b/>
          <w:sz w:val="28"/>
          <w:szCs w:val="28"/>
        </w:rPr>
      </w:pPr>
      <w:r>
        <w:rPr>
          <w:rFonts w:ascii="宋体" w:hAnsi="宋体"/>
          <w:b/>
          <w:bCs/>
          <w:sz w:val="24"/>
          <w:szCs w:val="24"/>
        </w:rPr>
        <w:t>投标人参与本项目的投标，即视为同意上述</w:t>
      </w:r>
      <w:r>
        <w:rPr>
          <w:rFonts w:hint="eastAsia" w:ascii="宋体" w:hAnsi="宋体"/>
          <w:b/>
          <w:bCs/>
          <w:sz w:val="24"/>
          <w:szCs w:val="24"/>
        </w:rPr>
        <w:t>评标及定标方式。</w:t>
      </w:r>
    </w:p>
    <w:sectPr>
      <w:pgSz w:w="11906" w:h="16838"/>
      <w:pgMar w:top="1418" w:right="1134" w:bottom="851"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65CC4"/>
    <w:multiLevelType w:val="multilevel"/>
    <w:tmpl w:val="51265CC4"/>
    <w:lvl w:ilvl="0" w:tentative="0">
      <w:start w:val="1"/>
      <w:numFmt w:val="decimal"/>
      <w:suff w:val="space"/>
      <w:lvlText w:val="%1、"/>
      <w:lvlJc w:val="left"/>
      <w:pPr>
        <w:ind w:left="360" w:hanging="360"/>
      </w:pPr>
      <w:rPr>
        <w:rFonts w:hint="default"/>
      </w:rPr>
    </w:lvl>
    <w:lvl w:ilvl="1" w:tentative="0">
      <w:start w:val="1"/>
      <w:numFmt w:val="decimal"/>
      <w:suff w:val="space"/>
      <w:lvlText w:val="%2、"/>
      <w:lvlJc w:val="left"/>
      <w:pPr>
        <w:ind w:left="357" w:hanging="357"/>
      </w:pPr>
      <w:rPr>
        <w:rFonts w:hint="default"/>
      </w:rPr>
    </w:lvl>
    <w:lvl w:ilvl="2" w:tentative="0">
      <w:start w:val="1"/>
      <w:numFmt w:val="decimalEnclosedCircle"/>
      <w:lvlText w:val="%3"/>
      <w:lvlJc w:val="left"/>
      <w:pPr>
        <w:ind w:left="1240" w:hanging="36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32A"/>
    <w:rsid w:val="00037906"/>
    <w:rsid w:val="00043010"/>
    <w:rsid w:val="00045D43"/>
    <w:rsid w:val="00052384"/>
    <w:rsid w:val="00052EEE"/>
    <w:rsid w:val="0007151E"/>
    <w:rsid w:val="00073CAC"/>
    <w:rsid w:val="00093CC0"/>
    <w:rsid w:val="000971DE"/>
    <w:rsid w:val="000C3DB0"/>
    <w:rsid w:val="000C6077"/>
    <w:rsid w:val="000F4A51"/>
    <w:rsid w:val="001307B0"/>
    <w:rsid w:val="00142E42"/>
    <w:rsid w:val="00143264"/>
    <w:rsid w:val="00143FBC"/>
    <w:rsid w:val="00161C70"/>
    <w:rsid w:val="00172A27"/>
    <w:rsid w:val="001A058D"/>
    <w:rsid w:val="001C34FE"/>
    <w:rsid w:val="001D336D"/>
    <w:rsid w:val="001D6087"/>
    <w:rsid w:val="00200525"/>
    <w:rsid w:val="00214B8E"/>
    <w:rsid w:val="00223B7B"/>
    <w:rsid w:val="00230B74"/>
    <w:rsid w:val="00251918"/>
    <w:rsid w:val="00253779"/>
    <w:rsid w:val="00275DE6"/>
    <w:rsid w:val="00281AA3"/>
    <w:rsid w:val="00283634"/>
    <w:rsid w:val="0029206B"/>
    <w:rsid w:val="00293F28"/>
    <w:rsid w:val="002C4FA0"/>
    <w:rsid w:val="002F0CA0"/>
    <w:rsid w:val="002F23F0"/>
    <w:rsid w:val="002F4E44"/>
    <w:rsid w:val="002F5B8B"/>
    <w:rsid w:val="002F704F"/>
    <w:rsid w:val="0030763C"/>
    <w:rsid w:val="0031029D"/>
    <w:rsid w:val="00311343"/>
    <w:rsid w:val="00315D2C"/>
    <w:rsid w:val="00321756"/>
    <w:rsid w:val="003223B4"/>
    <w:rsid w:val="00352008"/>
    <w:rsid w:val="003536BD"/>
    <w:rsid w:val="00374403"/>
    <w:rsid w:val="00382ADE"/>
    <w:rsid w:val="00384998"/>
    <w:rsid w:val="003855FD"/>
    <w:rsid w:val="00385C1C"/>
    <w:rsid w:val="00397B66"/>
    <w:rsid w:val="003A3465"/>
    <w:rsid w:val="003D792D"/>
    <w:rsid w:val="004061DF"/>
    <w:rsid w:val="00420FE8"/>
    <w:rsid w:val="00441870"/>
    <w:rsid w:val="00444B4E"/>
    <w:rsid w:val="004555AE"/>
    <w:rsid w:val="004622C9"/>
    <w:rsid w:val="004668C2"/>
    <w:rsid w:val="0048237D"/>
    <w:rsid w:val="004A3A05"/>
    <w:rsid w:val="004D34D3"/>
    <w:rsid w:val="00502335"/>
    <w:rsid w:val="005529F3"/>
    <w:rsid w:val="00560705"/>
    <w:rsid w:val="005A3146"/>
    <w:rsid w:val="005A538B"/>
    <w:rsid w:val="005A590D"/>
    <w:rsid w:val="005E5FA8"/>
    <w:rsid w:val="00603CBF"/>
    <w:rsid w:val="00617A00"/>
    <w:rsid w:val="00633DB1"/>
    <w:rsid w:val="00641CC1"/>
    <w:rsid w:val="00654F9A"/>
    <w:rsid w:val="0068189D"/>
    <w:rsid w:val="006B176E"/>
    <w:rsid w:val="006B6A7B"/>
    <w:rsid w:val="006C6C7A"/>
    <w:rsid w:val="007073C9"/>
    <w:rsid w:val="00723765"/>
    <w:rsid w:val="007242A9"/>
    <w:rsid w:val="00724CE0"/>
    <w:rsid w:val="007344EA"/>
    <w:rsid w:val="00773E90"/>
    <w:rsid w:val="00784EA9"/>
    <w:rsid w:val="007A1BA8"/>
    <w:rsid w:val="007A32BB"/>
    <w:rsid w:val="007E72ED"/>
    <w:rsid w:val="007F3C4F"/>
    <w:rsid w:val="00801D6E"/>
    <w:rsid w:val="008450B7"/>
    <w:rsid w:val="00847DF7"/>
    <w:rsid w:val="00852DB8"/>
    <w:rsid w:val="00871A69"/>
    <w:rsid w:val="00873561"/>
    <w:rsid w:val="00893102"/>
    <w:rsid w:val="008A21B8"/>
    <w:rsid w:val="008B4B2D"/>
    <w:rsid w:val="00921DD5"/>
    <w:rsid w:val="00961CD1"/>
    <w:rsid w:val="0096418D"/>
    <w:rsid w:val="0098516E"/>
    <w:rsid w:val="00985317"/>
    <w:rsid w:val="009B0972"/>
    <w:rsid w:val="009B26D1"/>
    <w:rsid w:val="009D6625"/>
    <w:rsid w:val="009F1404"/>
    <w:rsid w:val="00A23D2B"/>
    <w:rsid w:val="00A377CA"/>
    <w:rsid w:val="00A516FC"/>
    <w:rsid w:val="00A646A2"/>
    <w:rsid w:val="00A81980"/>
    <w:rsid w:val="00A87666"/>
    <w:rsid w:val="00A901E6"/>
    <w:rsid w:val="00AB2D9E"/>
    <w:rsid w:val="00AB2F20"/>
    <w:rsid w:val="00AD3A21"/>
    <w:rsid w:val="00AD7822"/>
    <w:rsid w:val="00B06412"/>
    <w:rsid w:val="00B55276"/>
    <w:rsid w:val="00B660DB"/>
    <w:rsid w:val="00B74CCB"/>
    <w:rsid w:val="00B857B8"/>
    <w:rsid w:val="00BA3827"/>
    <w:rsid w:val="00BA6D1E"/>
    <w:rsid w:val="00BB45F0"/>
    <w:rsid w:val="00BE1AA5"/>
    <w:rsid w:val="00BF43E7"/>
    <w:rsid w:val="00BF5533"/>
    <w:rsid w:val="00BF6E8D"/>
    <w:rsid w:val="00C26D29"/>
    <w:rsid w:val="00C31999"/>
    <w:rsid w:val="00C3537D"/>
    <w:rsid w:val="00C41956"/>
    <w:rsid w:val="00C7700D"/>
    <w:rsid w:val="00CB1185"/>
    <w:rsid w:val="00CB5CB7"/>
    <w:rsid w:val="00CC145F"/>
    <w:rsid w:val="00CC409F"/>
    <w:rsid w:val="00CC4AD2"/>
    <w:rsid w:val="00CF7EB6"/>
    <w:rsid w:val="00D02256"/>
    <w:rsid w:val="00D0561A"/>
    <w:rsid w:val="00D1191E"/>
    <w:rsid w:val="00D44D39"/>
    <w:rsid w:val="00D53FDF"/>
    <w:rsid w:val="00D55399"/>
    <w:rsid w:val="00DC6CB7"/>
    <w:rsid w:val="00DD591D"/>
    <w:rsid w:val="00E0132A"/>
    <w:rsid w:val="00E32975"/>
    <w:rsid w:val="00E44D16"/>
    <w:rsid w:val="00E91FEB"/>
    <w:rsid w:val="00EA09AD"/>
    <w:rsid w:val="00EA4FE3"/>
    <w:rsid w:val="00EE06F4"/>
    <w:rsid w:val="00EE3E81"/>
    <w:rsid w:val="00EF21E3"/>
    <w:rsid w:val="00F01F45"/>
    <w:rsid w:val="00F05E5E"/>
    <w:rsid w:val="00F33892"/>
    <w:rsid w:val="00F66A1B"/>
    <w:rsid w:val="00F72635"/>
    <w:rsid w:val="00FA301C"/>
    <w:rsid w:val="00FA6120"/>
    <w:rsid w:val="022551BE"/>
    <w:rsid w:val="02BF0A2C"/>
    <w:rsid w:val="031224E2"/>
    <w:rsid w:val="06303942"/>
    <w:rsid w:val="09C06DD8"/>
    <w:rsid w:val="0A5A314E"/>
    <w:rsid w:val="0F5208A4"/>
    <w:rsid w:val="107E0486"/>
    <w:rsid w:val="178B7F69"/>
    <w:rsid w:val="1DBC1D0A"/>
    <w:rsid w:val="246F17BB"/>
    <w:rsid w:val="27F971E7"/>
    <w:rsid w:val="28D64C70"/>
    <w:rsid w:val="2A9A6A3F"/>
    <w:rsid w:val="2AA35B92"/>
    <w:rsid w:val="2BF81217"/>
    <w:rsid w:val="2C421ABE"/>
    <w:rsid w:val="2C9C69E0"/>
    <w:rsid w:val="2CE360C1"/>
    <w:rsid w:val="2F0F1517"/>
    <w:rsid w:val="2F8D2072"/>
    <w:rsid w:val="2FA67878"/>
    <w:rsid w:val="306A039D"/>
    <w:rsid w:val="308560FA"/>
    <w:rsid w:val="345E24EC"/>
    <w:rsid w:val="35744813"/>
    <w:rsid w:val="3B5D6DA9"/>
    <w:rsid w:val="3E7B033B"/>
    <w:rsid w:val="40394773"/>
    <w:rsid w:val="40DC2FF2"/>
    <w:rsid w:val="40F546B7"/>
    <w:rsid w:val="464A4625"/>
    <w:rsid w:val="46844034"/>
    <w:rsid w:val="482960B1"/>
    <w:rsid w:val="48E1453E"/>
    <w:rsid w:val="4FE342C2"/>
    <w:rsid w:val="513832AE"/>
    <w:rsid w:val="591205E0"/>
    <w:rsid w:val="5B606120"/>
    <w:rsid w:val="5ECA6D0C"/>
    <w:rsid w:val="5F5BDD5A"/>
    <w:rsid w:val="5FC81077"/>
    <w:rsid w:val="61306C61"/>
    <w:rsid w:val="63FF1ECB"/>
    <w:rsid w:val="643C6F6D"/>
    <w:rsid w:val="64945D2D"/>
    <w:rsid w:val="66CA10FA"/>
    <w:rsid w:val="681475F9"/>
    <w:rsid w:val="69DC5C4C"/>
    <w:rsid w:val="6CD51139"/>
    <w:rsid w:val="6EB07ED0"/>
    <w:rsid w:val="6F283040"/>
    <w:rsid w:val="6FE32F46"/>
    <w:rsid w:val="70BF30CF"/>
    <w:rsid w:val="74D53517"/>
    <w:rsid w:val="75B01D65"/>
    <w:rsid w:val="76987F9A"/>
    <w:rsid w:val="78E7522F"/>
    <w:rsid w:val="7AF74F68"/>
    <w:rsid w:val="7B73017F"/>
    <w:rsid w:val="7EAE5E06"/>
    <w:rsid w:val="7F191866"/>
    <w:rsid w:val="7F4BF7F6"/>
    <w:rsid w:val="E7EA6049"/>
    <w:rsid w:val="F4D79177"/>
    <w:rsid w:val="F58CB63B"/>
    <w:rsid w:val="FBCF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paragraph" w:styleId="3">
    <w:name w:val="heading 4"/>
    <w:basedOn w:val="1"/>
    <w:next w:val="1"/>
    <w:link w:val="3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Plain Text"/>
    <w:basedOn w:val="1"/>
    <w:qFormat/>
    <w:uiPriority w:val="0"/>
    <w:rPr>
      <w:rFonts w:ascii="宋体" w:hAnsi="Courier New" w:eastAsia="楷体_GB2312"/>
      <w:sz w:val="28"/>
    </w:rPr>
  </w:style>
  <w:style w:type="paragraph" w:styleId="7">
    <w:name w:val="Balloon Text"/>
    <w:basedOn w:val="1"/>
    <w:link w:val="29"/>
    <w:qFormat/>
    <w:uiPriority w:val="0"/>
    <w:pPr>
      <w:spacing w:after="0" w:line="240" w:lineRule="auto"/>
    </w:pPr>
    <w:rPr>
      <w:sz w:val="18"/>
      <w:szCs w:val="18"/>
    </w:r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annotation subject"/>
    <w:basedOn w:val="4"/>
    <w:next w:val="4"/>
    <w:link w:val="24"/>
    <w:qFormat/>
    <w:uiPriority w:val="0"/>
    <w:rPr>
      <w:b/>
      <w:bCs/>
    </w:rPr>
  </w:style>
  <w:style w:type="character" w:styleId="14">
    <w:name w:val="Hyperlink"/>
    <w:basedOn w:val="13"/>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列表段落1"/>
    <w:basedOn w:val="1"/>
    <w:qFormat/>
    <w:uiPriority w:val="34"/>
    <w:pPr>
      <w:ind w:firstLine="420" w:firstLineChars="200"/>
    </w:pPr>
    <w:rPr>
      <w:rFonts w:ascii="Times New Roman" w:hAnsi="Times New Roman"/>
      <w:sz w:val="24"/>
      <w:szCs w:val="24"/>
    </w:rPr>
  </w:style>
  <w:style w:type="character" w:customStyle="1" w:styleId="17">
    <w:name w:val="font71"/>
    <w:basedOn w:val="13"/>
    <w:qFormat/>
    <w:uiPriority w:val="0"/>
    <w:rPr>
      <w:rFonts w:hint="eastAsia" w:ascii="宋体" w:hAnsi="宋体" w:eastAsia="宋体" w:cs="宋体"/>
      <w:color w:val="000000"/>
      <w:sz w:val="20"/>
      <w:szCs w:val="20"/>
      <w:u w:val="none"/>
    </w:rPr>
  </w:style>
  <w:style w:type="character" w:customStyle="1" w:styleId="18">
    <w:name w:val="font101"/>
    <w:basedOn w:val="13"/>
    <w:qFormat/>
    <w:uiPriority w:val="0"/>
    <w:rPr>
      <w:rFonts w:hint="eastAsia" w:ascii="宋体" w:hAnsi="宋体" w:eastAsia="宋体" w:cs="宋体"/>
      <w:color w:val="auto"/>
      <w:sz w:val="20"/>
      <w:szCs w:val="20"/>
      <w:u w:val="none"/>
    </w:rPr>
  </w:style>
  <w:style w:type="character" w:customStyle="1" w:styleId="19">
    <w:name w:val="font61"/>
    <w:basedOn w:val="13"/>
    <w:qFormat/>
    <w:uiPriority w:val="0"/>
    <w:rPr>
      <w:rFonts w:hint="eastAsia" w:ascii="宋体" w:hAnsi="宋体" w:eastAsia="宋体" w:cs="宋体"/>
      <w:color w:val="000000"/>
      <w:sz w:val="20"/>
      <w:szCs w:val="20"/>
      <w:u w:val="none"/>
    </w:rPr>
  </w:style>
  <w:style w:type="character" w:customStyle="1" w:styleId="20">
    <w:name w:val="font81"/>
    <w:basedOn w:val="13"/>
    <w:qFormat/>
    <w:uiPriority w:val="0"/>
    <w:rPr>
      <w:rFonts w:hint="eastAsia" w:ascii="宋体" w:hAnsi="宋体" w:eastAsia="宋体" w:cs="宋体"/>
      <w:b/>
      <w:color w:val="1F497D"/>
      <w:sz w:val="20"/>
      <w:szCs w:val="20"/>
      <w:u w:val="none"/>
    </w:rPr>
  </w:style>
  <w:style w:type="character" w:customStyle="1" w:styleId="21">
    <w:name w:val="font91"/>
    <w:basedOn w:val="13"/>
    <w:qFormat/>
    <w:uiPriority w:val="0"/>
    <w:rPr>
      <w:rFonts w:hint="eastAsia" w:ascii="宋体" w:hAnsi="宋体" w:eastAsia="宋体" w:cs="宋体"/>
      <w:b/>
      <w:color w:val="FF0000"/>
      <w:sz w:val="20"/>
      <w:szCs w:val="20"/>
      <w:u w:val="none"/>
    </w:rPr>
  </w:style>
  <w:style w:type="character" w:customStyle="1" w:styleId="22">
    <w:name w:val="font51"/>
    <w:basedOn w:val="13"/>
    <w:qFormat/>
    <w:uiPriority w:val="0"/>
    <w:rPr>
      <w:rFonts w:hint="eastAsia" w:ascii="宋体" w:hAnsi="宋体" w:eastAsia="宋体" w:cs="宋体"/>
      <w:color w:val="000000"/>
      <w:sz w:val="20"/>
      <w:szCs w:val="20"/>
      <w:u w:val="none"/>
    </w:rPr>
  </w:style>
  <w:style w:type="character" w:customStyle="1" w:styleId="23">
    <w:name w:val="批注文字 字符"/>
    <w:basedOn w:val="13"/>
    <w:link w:val="4"/>
    <w:qFormat/>
    <w:uiPriority w:val="0"/>
    <w:rPr>
      <w:rFonts w:ascii="Calibri" w:hAnsi="Calibri"/>
      <w:kern w:val="2"/>
      <w:sz w:val="21"/>
      <w:szCs w:val="22"/>
    </w:rPr>
  </w:style>
  <w:style w:type="character" w:customStyle="1" w:styleId="24">
    <w:name w:val="批注主题 字符"/>
    <w:basedOn w:val="23"/>
    <w:link w:val="11"/>
    <w:qFormat/>
    <w:uiPriority w:val="0"/>
    <w:rPr>
      <w:rFonts w:ascii="Calibri" w:hAnsi="Calibri"/>
      <w:b/>
      <w:bCs/>
      <w:kern w:val="2"/>
      <w:sz w:val="21"/>
      <w:szCs w:val="22"/>
    </w:rPr>
  </w:style>
  <w:style w:type="character" w:customStyle="1" w:styleId="25">
    <w:name w:val="页眉 字符"/>
    <w:basedOn w:val="13"/>
    <w:link w:val="9"/>
    <w:qFormat/>
    <w:uiPriority w:val="0"/>
    <w:rPr>
      <w:rFonts w:ascii="Calibri" w:hAnsi="Calibri"/>
      <w:kern w:val="2"/>
      <w:sz w:val="18"/>
      <w:szCs w:val="18"/>
    </w:rPr>
  </w:style>
  <w:style w:type="character" w:customStyle="1" w:styleId="26">
    <w:name w:val="页脚 字符"/>
    <w:basedOn w:val="13"/>
    <w:link w:val="8"/>
    <w:qFormat/>
    <w:uiPriority w:val="0"/>
    <w:rPr>
      <w:rFonts w:ascii="Calibri" w:hAnsi="Calibri"/>
      <w:kern w:val="2"/>
      <w:sz w:val="18"/>
      <w:szCs w:val="18"/>
    </w:rPr>
  </w:style>
  <w:style w:type="paragraph" w:customStyle="1" w:styleId="27">
    <w:name w:val="样式3"/>
    <w:basedOn w:val="6"/>
    <w:qFormat/>
    <w:uiPriority w:val="0"/>
    <w:pPr>
      <w:spacing w:line="240" w:lineRule="atLeast"/>
      <w:outlineLvl w:val="0"/>
    </w:pPr>
    <w:rPr>
      <w:szCs w:val="28"/>
    </w:rPr>
  </w:style>
  <w:style w:type="paragraph" w:customStyle="1" w:styleId="28">
    <w:name w:val="修订1"/>
    <w:hidden/>
    <w:unhideWhenUsed/>
    <w:qFormat/>
    <w:uiPriority w:val="99"/>
    <w:pPr>
      <w:spacing w:after="0" w:line="240" w:lineRule="auto"/>
    </w:pPr>
    <w:rPr>
      <w:rFonts w:ascii="Calibri" w:hAnsi="Calibri" w:eastAsia="宋体" w:cs="Times New Roman"/>
      <w:kern w:val="2"/>
      <w:sz w:val="21"/>
      <w:szCs w:val="22"/>
      <w:lang w:val="en-US" w:eastAsia="zh-CN" w:bidi="ar-SA"/>
    </w:rPr>
  </w:style>
  <w:style w:type="character" w:customStyle="1" w:styleId="29">
    <w:name w:val="批注框文本 字符"/>
    <w:basedOn w:val="13"/>
    <w:link w:val="7"/>
    <w:qFormat/>
    <w:uiPriority w:val="0"/>
    <w:rPr>
      <w:rFonts w:ascii="Calibri" w:hAnsi="Calibri"/>
      <w:kern w:val="2"/>
      <w:sz w:val="18"/>
      <w:szCs w:val="18"/>
    </w:rPr>
  </w:style>
  <w:style w:type="character" w:customStyle="1" w:styleId="30">
    <w:name w:val="未处理的提及1"/>
    <w:basedOn w:val="13"/>
    <w:unhideWhenUsed/>
    <w:qFormat/>
    <w:uiPriority w:val="99"/>
    <w:rPr>
      <w:color w:val="605E5C"/>
      <w:shd w:val="clear" w:color="auto" w:fill="E1DFDD"/>
    </w:rPr>
  </w:style>
  <w:style w:type="character" w:customStyle="1" w:styleId="31">
    <w:name w:val="标题 4 字符"/>
    <w:basedOn w:val="13"/>
    <w:link w:val="3"/>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A7CE567-12AB-4E7E-A5E3-3615693B3FF7}">
  <ds:schemaRefs/>
</ds:datastoreItem>
</file>

<file path=docProps/app.xml><?xml version="1.0" encoding="utf-8"?>
<Properties xmlns="http://schemas.openxmlformats.org/officeDocument/2006/extended-properties" xmlns:vt="http://schemas.openxmlformats.org/officeDocument/2006/docPropsVTypes">
  <Template>Normal</Template>
  <Pages>2</Pages>
  <Words>231</Words>
  <Characters>1322</Characters>
  <Lines>11</Lines>
  <Paragraphs>3</Paragraphs>
  <TotalTime>9</TotalTime>
  <ScaleCrop>false</ScaleCrop>
  <LinksUpToDate>false</LinksUpToDate>
  <CharactersWithSpaces>1550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2026-03-02T03:07:00Z</dcterms:created>
  <dc:creator>chenyaohui</dc:creator>
  <cp:lastModifiedBy>刘铃娜</cp:lastModifiedBy>
  <cp:lastPrinted>2025-12-20T05:51:00Z</cp:lastPrinted>
  <dcterms:modified xsi:type="dcterms:W3CDTF">2026-03-05T09:41:32Z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32E8F6DE3A12FA21C49DA269C2492F7A_42</vt:lpwstr>
  </property>
</Properties>
</file>