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sz w:val="30"/>
          <w:szCs w:val="30"/>
        </w:rPr>
      </w:pPr>
      <w:bookmarkStart w:id="0" w:name="_Toc21409"/>
      <w:bookmarkStart w:id="1" w:name="_Toc19915"/>
      <w:bookmarkStart w:id="2" w:name="_Toc5934"/>
      <w:bookmarkStart w:id="3" w:name="_Toc20631"/>
      <w:bookmarkStart w:id="4" w:name="_Toc97560485"/>
      <w:bookmarkStart w:id="5" w:name="_Toc17193"/>
      <w:bookmarkStart w:id="6" w:name="_Toc26315"/>
      <w:bookmarkStart w:id="7" w:name="_Toc14358"/>
      <w:r>
        <w:rPr>
          <w:rFonts w:hint="eastAsia"/>
          <w:sz w:val="30"/>
          <w:szCs w:val="30"/>
          <w:lang w:eastAsia="zh-CN"/>
        </w:rPr>
        <w:t>电泳车间新增钢制平台及电气源改造</w:t>
      </w:r>
      <w:r>
        <w:rPr>
          <w:rFonts w:hint="eastAsia"/>
          <w:sz w:val="30"/>
          <w:szCs w:val="30"/>
        </w:rPr>
        <w:t>招标项目</w:t>
      </w:r>
      <w:bookmarkStart w:id="8" w:name="OLE_LINK3"/>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bookmarkEnd w:id="8"/>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bookmarkStart w:id="9" w:name="OLE_LINK6"/>
      <w:r>
        <w:rPr>
          <w:rFonts w:ascii="宋体" w:hAnsi="宋体"/>
          <w:sz w:val="24"/>
          <w:lang w:val="zh-CN"/>
        </w:rPr>
        <w:t>对所有投标人的投标文件评审，都采用相同的程序和标准。</w:t>
      </w:r>
    </w:p>
    <w:p>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①开标评审人员均按项目类别由系统随机在金龙公司的开标评审人才库随机抽选；监标人员由金龙公司招标中心人员担任。</w:t>
      </w:r>
    </w:p>
    <w:p>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9"/>
      <w:r>
        <w:rPr>
          <w:rFonts w:hint="eastAsia" w:ascii="宋体" w:hAnsi="宋体"/>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lang w:val="en-US" w:eastAsia="zh-CN"/>
        </w:rPr>
        <w:t>10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lang w:val="en-US" w:eastAsia="zh-CN"/>
        </w:rPr>
        <w:t>30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lang w:val="en-US" w:eastAsia="zh-CN"/>
        </w:rPr>
        <w:t>60</w:t>
      </w:r>
      <w:r>
        <w:rPr>
          <w:rFonts w:hint="eastAsia" w:ascii="宋体" w:hAnsi="宋体" w:cs="宋体"/>
          <w:b/>
          <w:color w:val="FF0000"/>
          <w:szCs w:val="20"/>
        </w:rPr>
        <w:t>分）</w:t>
      </w:r>
    </w:p>
    <w:p>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p>
      <w:pPr>
        <w:spacing w:line="360" w:lineRule="auto"/>
        <w:outlineLvl w:val="2"/>
        <w:rPr>
          <w:rFonts w:hint="eastAsia" w:ascii="宋体" w:hAnsi="宋体"/>
          <w:b/>
          <w:bCs/>
          <w:color w:val="0000FF"/>
          <w:sz w:val="24"/>
          <w:szCs w:val="24"/>
        </w:rPr>
      </w:pPr>
      <w:bookmarkStart w:id="10" w:name="_Toc217295097"/>
      <w:r>
        <w:rPr>
          <w:rFonts w:hint="eastAsia" w:ascii="宋体" w:hAnsi="宋体"/>
          <w:b/>
          <w:bCs/>
          <w:color w:val="0000FF"/>
          <w:sz w:val="24"/>
          <w:szCs w:val="24"/>
        </w:rPr>
        <w:t>表一：供应商商务B审核评审项目/评分标准</w:t>
      </w:r>
      <w:bookmarkEnd w:id="10"/>
    </w:p>
    <w:tbl>
      <w:tblPr>
        <w:tblStyle w:val="13"/>
        <w:tblW w:w="13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76"/>
        <w:gridCol w:w="1955"/>
        <w:gridCol w:w="976"/>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76"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5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76"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407"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76"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5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业绩评价</w:t>
            </w:r>
          </w:p>
        </w:tc>
        <w:tc>
          <w:tcPr>
            <w:tcW w:w="976" w:type="dxa"/>
            <w:vMerge w:val="restart"/>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lang w:val="en-US" w:eastAsia="zh-CN"/>
              </w:rPr>
              <w:t>10</w:t>
            </w:r>
            <w:r>
              <w:rPr>
                <w:rFonts w:hint="eastAsia" w:ascii="宋体" w:hAnsi="宋体" w:cs="宋体"/>
                <w:b/>
                <w:bCs/>
                <w:color w:val="FF0000"/>
                <w:kern w:val="0"/>
                <w:sz w:val="18"/>
                <w:szCs w:val="18"/>
              </w:rPr>
              <w:t>分</w:t>
            </w:r>
          </w:p>
        </w:tc>
        <w:tc>
          <w:tcPr>
            <w:tcW w:w="9407" w:type="dxa"/>
            <w:vAlign w:val="center"/>
          </w:tcPr>
          <w:p>
            <w:pPr>
              <w:widowControl/>
              <w:numPr>
                <w:ilvl w:val="0"/>
                <w:numId w:val="0"/>
              </w:numPr>
              <w:tabs>
                <w:tab w:val="left" w:pos="312"/>
              </w:tabs>
              <w:spacing w:line="240" w:lineRule="exact"/>
              <w:ind w:left="0" w:leftChars="0"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20"/>
                <w:lang w:eastAsia="zh-CN"/>
              </w:rPr>
              <w:t>投标人</w:t>
            </w:r>
            <w:r>
              <w:rPr>
                <w:rFonts w:hint="eastAsia" w:ascii="宋体" w:hAnsi="宋体" w:cs="宋体"/>
                <w:b/>
                <w:bCs/>
                <w:color w:val="000000"/>
                <w:kern w:val="0"/>
                <w:sz w:val="20"/>
              </w:rPr>
              <w:t>应提供近两年（202</w:t>
            </w:r>
            <w:r>
              <w:rPr>
                <w:rFonts w:hint="eastAsia" w:ascii="宋体" w:hAnsi="宋体" w:cs="宋体"/>
                <w:b/>
                <w:bCs/>
                <w:color w:val="000000"/>
                <w:kern w:val="0"/>
                <w:sz w:val="20"/>
                <w:lang w:val="en-US" w:eastAsia="zh-CN"/>
              </w:rPr>
              <w:t>4</w:t>
            </w:r>
            <w:r>
              <w:rPr>
                <w:rFonts w:hint="eastAsia" w:ascii="宋体" w:hAnsi="宋体" w:cs="宋体"/>
                <w:b/>
                <w:bCs/>
                <w:color w:val="000000"/>
                <w:kern w:val="0"/>
                <w:sz w:val="20"/>
              </w:rPr>
              <w:t>-202</w:t>
            </w:r>
            <w:r>
              <w:rPr>
                <w:rFonts w:hint="eastAsia" w:ascii="宋体" w:hAnsi="宋体" w:cs="宋体"/>
                <w:b/>
                <w:bCs/>
                <w:color w:val="000000"/>
                <w:kern w:val="0"/>
                <w:sz w:val="20"/>
                <w:lang w:val="en-US" w:eastAsia="zh-CN"/>
              </w:rPr>
              <w:t>5</w:t>
            </w:r>
            <w:r>
              <w:rPr>
                <w:rFonts w:hint="eastAsia" w:ascii="宋体" w:hAnsi="宋体" w:cs="宋体"/>
                <w:b/>
                <w:bCs/>
                <w:color w:val="000000"/>
                <w:kern w:val="0"/>
                <w:sz w:val="20"/>
              </w:rPr>
              <w:t>年度）</w:t>
            </w:r>
            <w:r>
              <w:rPr>
                <w:rFonts w:hint="eastAsia" w:ascii="宋体" w:hAnsi="宋体" w:cs="宋体"/>
                <w:b/>
                <w:bCs/>
                <w:color w:val="000000"/>
                <w:kern w:val="0"/>
                <w:sz w:val="20"/>
                <w:highlight w:val="none"/>
              </w:rPr>
              <w:t>2</w:t>
            </w:r>
            <w:r>
              <w:rPr>
                <w:rFonts w:hint="eastAsia" w:ascii="宋体" w:hAnsi="宋体" w:cs="宋体"/>
                <w:b/>
                <w:bCs/>
                <w:kern w:val="0"/>
                <w:sz w:val="20"/>
                <w:szCs w:val="22"/>
                <w:highlight w:val="none"/>
              </w:rPr>
              <w:t>份</w:t>
            </w:r>
            <w:bookmarkStart w:id="14" w:name="_GoBack"/>
            <w:r>
              <w:rPr>
                <w:rFonts w:hint="eastAsia" w:ascii="宋体" w:hAnsi="宋体" w:cs="宋体"/>
                <w:b/>
                <w:bCs/>
                <w:kern w:val="0"/>
                <w:sz w:val="20"/>
                <w:szCs w:val="22"/>
                <w:highlight w:val="none"/>
                <w:lang w:eastAsia="zh-CN"/>
              </w:rPr>
              <w:t>钢结构</w:t>
            </w:r>
            <w:r>
              <w:rPr>
                <w:rFonts w:hint="eastAsia" w:ascii="宋体" w:hAnsi="宋体" w:cs="宋体"/>
                <w:b/>
                <w:bCs/>
                <w:kern w:val="0"/>
                <w:sz w:val="20"/>
                <w:szCs w:val="22"/>
                <w:highlight w:val="none"/>
                <w:lang w:val="en-US" w:eastAsia="zh-CN"/>
              </w:rPr>
              <w:t>类</w:t>
            </w:r>
            <w:r>
              <w:rPr>
                <w:rFonts w:hint="eastAsia" w:ascii="宋体" w:hAnsi="宋体" w:cs="宋体"/>
                <w:b/>
                <w:bCs/>
                <w:kern w:val="0"/>
                <w:sz w:val="20"/>
                <w:szCs w:val="22"/>
                <w:highlight w:val="none"/>
              </w:rPr>
              <w:t>项目</w:t>
            </w:r>
            <w:bookmarkEnd w:id="14"/>
            <w:r>
              <w:rPr>
                <w:rFonts w:hint="eastAsia" w:ascii="宋体" w:hAnsi="宋体" w:cs="宋体"/>
                <w:b/>
                <w:bCs/>
                <w:kern w:val="0"/>
                <w:sz w:val="20"/>
                <w:szCs w:val="22"/>
                <w:highlight w:val="none"/>
              </w:rPr>
              <w:t>业绩</w:t>
            </w:r>
            <w:r>
              <w:rPr>
                <w:rFonts w:hint="eastAsia" w:ascii="宋体" w:hAnsi="宋体" w:cs="宋体"/>
                <w:b/>
                <w:bCs/>
                <w:kern w:val="0"/>
                <w:sz w:val="20"/>
                <w:highlight w:val="none"/>
              </w:rPr>
              <w:t>（</w:t>
            </w:r>
            <w:r>
              <w:rPr>
                <w:rFonts w:hint="eastAsia" w:ascii="宋体" w:hAnsi="宋体" w:cs="宋体"/>
                <w:b/>
                <w:bCs/>
                <w:kern w:val="0"/>
                <w:sz w:val="20"/>
              </w:rPr>
              <w:t>合同交易额最大），包括以下资料： ①业绩合同文本；②能够证明该业绩项目已经由</w:t>
            </w:r>
            <w:r>
              <w:rPr>
                <w:rFonts w:hint="eastAsia" w:ascii="宋体" w:hAnsi="宋体" w:cs="宋体"/>
                <w:b/>
                <w:bCs/>
                <w:kern w:val="0"/>
                <w:sz w:val="20"/>
                <w:lang w:eastAsia="zh-CN"/>
              </w:rPr>
              <w:t>采购人</w:t>
            </w:r>
            <w:r>
              <w:rPr>
                <w:rFonts w:hint="eastAsia" w:ascii="宋体" w:hAnsi="宋体" w:cs="宋体"/>
                <w:b/>
                <w:bCs/>
                <w:kern w:val="0"/>
                <w:sz w:val="20"/>
              </w:rPr>
              <w:t>验收合格的相关证明文件。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76"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55" w:type="dxa"/>
            <w:vAlign w:val="center"/>
          </w:tcPr>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工期时间承诺</w:t>
            </w:r>
          </w:p>
        </w:tc>
        <w:tc>
          <w:tcPr>
            <w:tcW w:w="976" w:type="dxa"/>
            <w:vMerge w:val="continue"/>
            <w:vAlign w:val="center"/>
          </w:tcPr>
          <w:p>
            <w:pPr>
              <w:spacing w:line="240" w:lineRule="exact"/>
              <w:jc w:val="center"/>
              <w:rPr>
                <w:rFonts w:hint="eastAsia" w:ascii="宋体" w:hAnsi="宋体" w:cs="宋体"/>
                <w:b/>
                <w:bCs/>
                <w:color w:val="000000"/>
                <w:kern w:val="0"/>
                <w:sz w:val="18"/>
                <w:szCs w:val="18"/>
              </w:rPr>
            </w:pPr>
          </w:p>
        </w:tc>
        <w:tc>
          <w:tcPr>
            <w:tcW w:w="9407" w:type="dxa"/>
            <w:vAlign w:val="center"/>
          </w:tcPr>
          <w:p>
            <w:pPr>
              <w:widowControl/>
              <w:numPr>
                <w:ilvl w:val="0"/>
                <w:numId w:val="0"/>
              </w:numPr>
              <w:spacing w:line="240" w:lineRule="exact"/>
              <w:ind w:left="0" w:leftChars="0" w:firstLine="0" w:firstLineChars="0"/>
              <w:jc w:val="left"/>
              <w:rPr>
                <w:rFonts w:hint="eastAsia" w:ascii="宋体" w:hAnsi="宋体" w:cs="宋体"/>
                <w:b/>
                <w:bCs/>
                <w:kern w:val="0"/>
                <w:sz w:val="18"/>
                <w:szCs w:val="18"/>
              </w:rPr>
            </w:pPr>
            <w:r>
              <w:rPr>
                <w:rFonts w:hint="eastAsia" w:ascii="宋体" w:hAnsi="宋体" w:cs="宋体"/>
                <w:b/>
                <w:bCs/>
                <w:color w:val="000000"/>
                <w:kern w:val="0"/>
                <w:sz w:val="20"/>
                <w:lang w:eastAsia="zh-CN"/>
              </w:rPr>
              <w:t>投标人</w:t>
            </w:r>
            <w:r>
              <w:rPr>
                <w:rFonts w:hint="eastAsia" w:ascii="宋体" w:hAnsi="宋体" w:cs="宋体"/>
                <w:b/>
                <w:bCs/>
                <w:color w:val="000000"/>
                <w:kern w:val="0"/>
                <w:sz w:val="20"/>
              </w:rPr>
              <w:t>根据实际情况考虑施工组织，约定工期时间的承诺函。（详见附件五）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530"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76"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55" w:type="dxa"/>
            <w:vAlign w:val="center"/>
          </w:tcPr>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质保时间承诺</w:t>
            </w:r>
          </w:p>
        </w:tc>
        <w:tc>
          <w:tcPr>
            <w:tcW w:w="976" w:type="dxa"/>
            <w:vMerge w:val="continue"/>
            <w:vAlign w:val="center"/>
          </w:tcPr>
          <w:p>
            <w:pPr>
              <w:spacing w:line="240" w:lineRule="exact"/>
              <w:jc w:val="center"/>
              <w:rPr>
                <w:rFonts w:hint="eastAsia" w:ascii="宋体" w:hAnsi="宋体" w:cs="宋体"/>
                <w:b/>
                <w:bCs/>
                <w:color w:val="000000"/>
                <w:kern w:val="0"/>
                <w:sz w:val="18"/>
                <w:szCs w:val="18"/>
              </w:rPr>
            </w:pPr>
          </w:p>
        </w:tc>
        <w:tc>
          <w:tcPr>
            <w:tcW w:w="9407" w:type="dxa"/>
            <w:vAlign w:val="center"/>
          </w:tcPr>
          <w:p>
            <w:pPr>
              <w:spacing w:line="240" w:lineRule="exact"/>
              <w:jc w:val="center"/>
              <w:rPr>
                <w:rFonts w:hint="eastAsia" w:ascii="宋体" w:hAnsi="宋体" w:cs="宋体"/>
                <w:b/>
                <w:bCs/>
                <w:kern w:val="0"/>
                <w:sz w:val="18"/>
                <w:szCs w:val="18"/>
              </w:rPr>
            </w:pPr>
            <w:r>
              <w:rPr>
                <w:rFonts w:hint="eastAsia" w:ascii="宋体" w:hAnsi="宋体" w:cs="宋体"/>
                <w:b/>
                <w:bCs/>
                <w:color w:val="000000"/>
                <w:kern w:val="0"/>
                <w:sz w:val="18"/>
                <w:szCs w:val="18"/>
              </w:rPr>
              <w:t>自验收之日起, 约定质保时间的承诺函。（详见附件五）</w:t>
            </w:r>
          </w:p>
        </w:tc>
      </w:tr>
    </w:tbl>
    <w:p>
      <w:pPr>
        <w:rPr>
          <w:rFonts w:hint="eastAsia" w:ascii="宋体" w:hAnsi="宋体"/>
          <w:b/>
          <w:bCs/>
          <w:color w:val="0000FF"/>
          <w:szCs w:val="21"/>
        </w:rPr>
      </w:pPr>
    </w:p>
    <w:p>
      <w:pPr>
        <w:numPr>
          <w:ilvl w:val="0"/>
          <w:numId w:val="5"/>
        </w:numPr>
        <w:rPr>
          <w:rFonts w:hint="eastAsia" w:ascii="宋体" w:hAnsi="宋体"/>
          <w:b/>
          <w:bCs/>
          <w:color w:val="0000FF"/>
          <w:szCs w:val="21"/>
        </w:rPr>
      </w:pPr>
      <w:r>
        <w:rPr>
          <w:rFonts w:hint="eastAsia" w:ascii="宋体" w:hAnsi="宋体"/>
          <w:b/>
          <w:bCs/>
          <w:color w:val="0000FF"/>
          <w:sz w:val="24"/>
          <w:szCs w:val="24"/>
        </w:rPr>
        <w:t>表二：供应商技术T审核评审项目/评分标准</w:t>
      </w:r>
    </w:p>
    <w:tbl>
      <w:tblPr>
        <w:tblStyle w:val="13"/>
        <w:tblW w:w="13887" w:type="dxa"/>
        <w:tblInd w:w="113" w:type="dxa"/>
        <w:tblLayout w:type="fixed"/>
        <w:tblCellMar>
          <w:top w:w="0" w:type="dxa"/>
          <w:left w:w="108" w:type="dxa"/>
          <w:bottom w:w="0" w:type="dxa"/>
          <w:right w:w="108" w:type="dxa"/>
        </w:tblCellMar>
      </w:tblPr>
      <w:tblGrid>
        <w:gridCol w:w="510"/>
        <w:gridCol w:w="1047"/>
        <w:gridCol w:w="1981"/>
        <w:gridCol w:w="852"/>
        <w:gridCol w:w="9497"/>
      </w:tblGrid>
      <w:tr>
        <w:tblPrEx>
          <w:tblLayout w:type="fixed"/>
          <w:tblCellMar>
            <w:top w:w="0" w:type="dxa"/>
            <w:left w:w="108" w:type="dxa"/>
            <w:bottom w:w="0" w:type="dxa"/>
            <w:right w:w="108" w:type="dxa"/>
          </w:tblCellMar>
        </w:tblPrEx>
        <w:trPr>
          <w:trHeight w:val="20" w:hRule="atLeast"/>
        </w:trPr>
        <w:tc>
          <w:tcPr>
            <w:tcW w:w="51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1047"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1"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852"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497" w:type="dxa"/>
            <w:tcBorders>
              <w:top w:val="single" w:color="auto" w:sz="4" w:space="0"/>
              <w:left w:val="nil"/>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0" w:hRule="atLeast"/>
        </w:trPr>
        <w:tc>
          <w:tcPr>
            <w:tcW w:w="51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r>
              <w:rPr>
                <w:rFonts w:ascii="宋体" w:hAnsi="宋体" w:cs="宋体"/>
                <w:b/>
                <w:bCs/>
                <w:color w:val="000000"/>
                <w:kern w:val="0"/>
                <w:sz w:val="18"/>
                <w:szCs w:val="18"/>
              </w:rPr>
              <w:t>2</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1981" w:type="dxa"/>
            <w:tcBorders>
              <w:top w:val="single" w:color="auto" w:sz="4" w:space="0"/>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施工方案</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lang w:val="en-US" w:eastAsia="zh-CN"/>
              </w:rPr>
              <w:t>30</w:t>
            </w:r>
            <w:r>
              <w:rPr>
                <w:rFonts w:hint="eastAsia" w:ascii="宋体" w:hAnsi="宋体" w:cs="宋体"/>
                <w:b/>
                <w:bCs/>
                <w:color w:val="FF0000"/>
                <w:kern w:val="0"/>
                <w:sz w:val="18"/>
                <w:szCs w:val="18"/>
              </w:rPr>
              <w:t>分</w:t>
            </w:r>
          </w:p>
        </w:tc>
        <w:tc>
          <w:tcPr>
            <w:tcW w:w="9497" w:type="dxa"/>
            <w:tcBorders>
              <w:top w:val="single" w:color="auto" w:sz="4" w:space="0"/>
              <w:left w:val="nil"/>
              <w:bottom w:val="single" w:color="auto" w:sz="4" w:space="0"/>
              <w:right w:val="single" w:color="auto" w:sz="4" w:space="0"/>
            </w:tcBorders>
            <w:vAlign w:val="center"/>
          </w:tcPr>
          <w:p>
            <w:pPr>
              <w:pStyle w:val="14"/>
              <w:widowControl/>
              <w:numPr>
                <w:ilvl w:val="0"/>
                <w:numId w:val="0"/>
              </w:numPr>
              <w:wordWrap w:val="0"/>
              <w:spacing w:line="240" w:lineRule="exact"/>
              <w:ind w:left="0" w:leftChars="0" w:firstLine="0" w:firstLineChars="0"/>
              <w:jc w:val="left"/>
              <w:rPr>
                <w:rFonts w:hint="eastAsia" w:ascii="宋体" w:hAnsi="宋体" w:eastAsia="宋体" w:cs="宋体"/>
                <w:b/>
                <w:bCs/>
                <w:color w:val="0000FF"/>
                <w:kern w:val="0"/>
                <w:sz w:val="18"/>
                <w:szCs w:val="18"/>
              </w:rPr>
            </w:pPr>
            <w:r>
              <w:rPr>
                <w:rFonts w:hint="eastAsia" w:ascii="宋体" w:hAnsi="宋体" w:eastAsia="宋体" w:cs="宋体"/>
                <w:b/>
                <w:bCs/>
                <w:color w:val="000000"/>
                <w:kern w:val="0"/>
                <w:sz w:val="20"/>
                <w:szCs w:val="22"/>
                <w:lang w:val="en-US" w:eastAsia="zh-CN" w:bidi="ar-SA"/>
              </w:rPr>
              <w:t>提供的施工方案，应包含但不限于：根据项目各分部分项工程主要施工工艺；施工技术措施；施工重点、难点及对应措施。</w:t>
            </w:r>
          </w:p>
        </w:tc>
      </w:tr>
      <w:tr>
        <w:tblPrEx>
          <w:tblLayout w:type="fixed"/>
          <w:tblCellMar>
            <w:top w:w="0" w:type="dxa"/>
            <w:left w:w="108" w:type="dxa"/>
            <w:bottom w:w="0" w:type="dxa"/>
            <w:right w:w="108" w:type="dxa"/>
          </w:tblCellMar>
        </w:tblPrEx>
        <w:trPr>
          <w:trHeight w:val="2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981" w:type="dxa"/>
            <w:tcBorders>
              <w:top w:val="nil"/>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lang w:val="en-US" w:eastAsia="zh-CN"/>
              </w:rPr>
              <w:t>安全施工措施</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p>
        </w:tc>
        <w:tc>
          <w:tcPr>
            <w:tcW w:w="9497" w:type="dxa"/>
            <w:tcBorders>
              <w:top w:val="nil"/>
              <w:left w:val="nil"/>
              <w:bottom w:val="single" w:color="auto" w:sz="4" w:space="0"/>
              <w:right w:val="single" w:color="auto" w:sz="4" w:space="0"/>
            </w:tcBorders>
            <w:vAlign w:val="center"/>
          </w:tcPr>
          <w:p>
            <w:pPr>
              <w:pStyle w:val="14"/>
              <w:widowControl/>
              <w:numPr>
                <w:ilvl w:val="0"/>
                <w:numId w:val="0"/>
              </w:numPr>
              <w:wordWrap w:val="0"/>
              <w:spacing w:line="240" w:lineRule="exact"/>
              <w:ind w:left="0" w:leftChars="0" w:firstLine="0" w:firstLineChars="0"/>
              <w:jc w:val="left"/>
              <w:rPr>
                <w:rFonts w:hint="eastAsia" w:ascii="宋体" w:hAnsi="宋体" w:eastAsia="宋体" w:cs="宋体"/>
                <w:b/>
                <w:bCs/>
                <w:color w:val="FF0000"/>
                <w:kern w:val="0"/>
                <w:sz w:val="18"/>
                <w:szCs w:val="18"/>
              </w:rPr>
            </w:pPr>
            <w:r>
              <w:rPr>
                <w:rFonts w:hint="eastAsia" w:ascii="宋体" w:hAnsi="宋体" w:eastAsia="宋体" w:cs="宋体"/>
                <w:b/>
                <w:bCs/>
                <w:color w:val="000000"/>
                <w:kern w:val="0"/>
                <w:sz w:val="20"/>
                <w:szCs w:val="22"/>
                <w:lang w:val="en-US" w:eastAsia="zh-CN" w:bidi="ar-SA"/>
              </w:rPr>
              <w:t>提供的安全施工措施，应包含但不限于：安全管理方针；安全保证体系；安全管理制度；安全事故预防措施；拟投入的安全设施设备。</w:t>
            </w:r>
          </w:p>
        </w:tc>
      </w:tr>
      <w:tr>
        <w:tblPrEx>
          <w:tblLayout w:type="fixed"/>
          <w:tblCellMar>
            <w:top w:w="0" w:type="dxa"/>
            <w:left w:w="108" w:type="dxa"/>
            <w:bottom w:w="0" w:type="dxa"/>
            <w:right w:w="108" w:type="dxa"/>
          </w:tblCellMar>
        </w:tblPrEx>
        <w:trPr>
          <w:trHeight w:val="20" w:hRule="atLeast"/>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18"/>
                <w:szCs w:val="18"/>
              </w:rPr>
            </w:pPr>
          </w:p>
        </w:tc>
        <w:tc>
          <w:tcPr>
            <w:tcW w:w="1981" w:type="dxa"/>
            <w:tcBorders>
              <w:top w:val="nil"/>
              <w:left w:val="nil"/>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lang w:val="en-US" w:eastAsia="zh-CN"/>
              </w:rPr>
              <w:t xml:space="preserve">施工进度计划 </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center"/>
              <w:rPr>
                <w:rFonts w:hint="eastAsia" w:ascii="宋体" w:hAnsi="宋体" w:cs="宋体"/>
                <w:b/>
                <w:bCs/>
                <w:color w:val="000000"/>
                <w:kern w:val="0"/>
                <w:sz w:val="18"/>
                <w:szCs w:val="18"/>
              </w:rPr>
            </w:pPr>
          </w:p>
        </w:tc>
        <w:tc>
          <w:tcPr>
            <w:tcW w:w="9497" w:type="dxa"/>
            <w:tcBorders>
              <w:top w:val="nil"/>
              <w:left w:val="nil"/>
              <w:bottom w:val="single" w:color="auto" w:sz="4" w:space="0"/>
              <w:right w:val="single" w:color="auto" w:sz="4" w:space="0"/>
            </w:tcBorders>
            <w:vAlign w:val="center"/>
          </w:tcPr>
          <w:p>
            <w:pPr>
              <w:pStyle w:val="14"/>
              <w:widowControl/>
              <w:numPr>
                <w:ilvl w:val="0"/>
                <w:numId w:val="0"/>
              </w:numPr>
              <w:wordWrap w:val="0"/>
              <w:spacing w:line="240" w:lineRule="exact"/>
              <w:ind w:left="0" w:leftChars="0" w:firstLine="0" w:firstLineChars="0"/>
              <w:jc w:val="left"/>
              <w:rPr>
                <w:rFonts w:hint="eastAsia" w:ascii="宋体" w:hAnsi="宋体" w:eastAsia="宋体" w:cs="宋体"/>
                <w:b/>
                <w:bCs/>
                <w:color w:val="0000FF"/>
                <w:kern w:val="0"/>
                <w:sz w:val="18"/>
                <w:szCs w:val="18"/>
              </w:rPr>
            </w:pPr>
            <w:r>
              <w:rPr>
                <w:rFonts w:hint="eastAsia" w:ascii="宋体" w:hAnsi="宋体" w:eastAsia="宋体" w:cs="宋体"/>
                <w:b/>
                <w:bCs/>
                <w:color w:val="000000"/>
                <w:kern w:val="0"/>
                <w:sz w:val="20"/>
                <w:szCs w:val="22"/>
                <w:lang w:val="en-US" w:eastAsia="zh-CN" w:bidi="ar-SA"/>
              </w:rPr>
              <w:t>投标人应提供施工进度计划，应包含但不限于：施工进度表或工期网络计划；根据项目工程特点罗列出各分部工期计划及计划中每段工期的施工内容、防护措施；关键线路、关键节点的控制措施。</w:t>
            </w:r>
          </w:p>
        </w:tc>
      </w:tr>
    </w:tbl>
    <w:p>
      <w:pPr>
        <w:numPr>
          <w:ilvl w:val="0"/>
          <w:numId w:val="0"/>
        </w:numPr>
        <w:ind w:leftChars="0"/>
        <w:rPr>
          <w:rFonts w:hint="eastAsia" w:ascii="宋体" w:hAnsi="宋体"/>
          <w:b/>
          <w:bCs/>
          <w:color w:val="0000FF"/>
          <w:szCs w:val="21"/>
        </w:rPr>
      </w:pPr>
    </w:p>
    <w:p>
      <w:pPr>
        <w:widowControl/>
        <w:spacing w:line="360" w:lineRule="auto"/>
        <w:jc w:val="left"/>
        <w:outlineLvl w:val="2"/>
        <w:rPr>
          <w:rFonts w:hint="eastAsia" w:ascii="宋体" w:hAnsi="宋体"/>
          <w:b/>
          <w:bCs/>
          <w:color w:val="0000FF"/>
          <w:sz w:val="24"/>
          <w:szCs w:val="24"/>
        </w:rPr>
      </w:pPr>
      <w:bookmarkStart w:id="11" w:name="OLE_LINK11"/>
      <w:bookmarkStart w:id="12" w:name="_Toc217295098"/>
      <w:r>
        <w:rPr>
          <w:rFonts w:hint="eastAsia" w:ascii="宋体" w:hAnsi="宋体"/>
          <w:b/>
          <w:bCs/>
          <w:color w:val="0000FF"/>
          <w:sz w:val="24"/>
          <w:szCs w:val="24"/>
        </w:rPr>
        <w:t>表三：供应商价格C评审项目/评分标准</w:t>
      </w:r>
      <w:bookmarkEnd w:id="11"/>
      <w:bookmarkEnd w:id="12"/>
    </w:p>
    <w:tbl>
      <w:tblPr>
        <w:tblStyle w:val="13"/>
        <w:tblW w:w="13862" w:type="dxa"/>
        <w:tblInd w:w="113" w:type="dxa"/>
        <w:tblLayout w:type="fixed"/>
        <w:tblCellMar>
          <w:top w:w="0" w:type="dxa"/>
          <w:left w:w="108" w:type="dxa"/>
          <w:bottom w:w="0" w:type="dxa"/>
          <w:right w:w="108" w:type="dxa"/>
        </w:tblCellMar>
      </w:tblPr>
      <w:tblGrid>
        <w:gridCol w:w="549"/>
        <w:gridCol w:w="1006"/>
        <w:gridCol w:w="1984"/>
        <w:gridCol w:w="851"/>
        <w:gridCol w:w="5386"/>
        <w:gridCol w:w="4086"/>
      </w:tblGrid>
      <w:tr>
        <w:tblPrEx>
          <w:tblLayout w:type="fixed"/>
          <w:tblCellMar>
            <w:top w:w="0" w:type="dxa"/>
            <w:left w:w="108" w:type="dxa"/>
            <w:bottom w:w="0" w:type="dxa"/>
            <w:right w:w="108" w:type="dxa"/>
          </w:tblCellMar>
        </w:tblPrEx>
        <w:trPr>
          <w:trHeight w:val="20" w:hRule="atLeast"/>
        </w:trPr>
        <w:tc>
          <w:tcPr>
            <w:tcW w:w="54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w:t>
            </w:r>
          </w:p>
        </w:tc>
        <w:tc>
          <w:tcPr>
            <w:tcW w:w="100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386" w:type="dxa"/>
            <w:tcBorders>
              <w:top w:val="single" w:color="auto" w:sz="4" w:space="0"/>
              <w:left w:val="nil"/>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评审标准</w:t>
            </w:r>
          </w:p>
          <w:p>
            <w:pPr>
              <w:widowControl/>
              <w:spacing w:line="200" w:lineRule="exact"/>
              <w:jc w:val="center"/>
              <w:rPr>
                <w:rFonts w:hint="eastAsia" w:ascii="宋体" w:hAnsi="宋体" w:cs="宋体"/>
                <w:b/>
                <w:bCs/>
                <w:color w:val="0000FF"/>
                <w:kern w:val="0"/>
                <w:sz w:val="18"/>
                <w:szCs w:val="18"/>
              </w:rPr>
            </w:pPr>
            <w:r>
              <w:rPr>
                <w:rFonts w:hint="eastAsia" w:ascii="宋体" w:hAnsi="宋体" w:cs="宋体"/>
                <w:b/>
                <w:bCs/>
                <w:color w:val="FF0000"/>
                <w:kern w:val="0"/>
                <w:sz w:val="18"/>
                <w:szCs w:val="18"/>
              </w:rPr>
              <w:t>（根据项目情况选择其一）</w:t>
            </w:r>
          </w:p>
        </w:tc>
        <w:tc>
          <w:tcPr>
            <w:tcW w:w="408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0" w:hRule="atLeast"/>
        </w:trPr>
        <w:tc>
          <w:tcPr>
            <w:tcW w:w="5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bookmarkStart w:id="13" w:name="_Hlk216870764"/>
            <w:r>
              <w:rPr>
                <w:rFonts w:ascii="宋体" w:hAnsi="宋体" w:cs="宋体"/>
                <w:b/>
                <w:bCs/>
                <w:color w:val="000000"/>
                <w:kern w:val="0"/>
                <w:sz w:val="18"/>
                <w:szCs w:val="18"/>
              </w:rPr>
              <w:t>3</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提供服务价格</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b/>
                <w:bCs/>
                <w:color w:val="FF0000"/>
                <w:kern w:val="0"/>
                <w:sz w:val="18"/>
                <w:szCs w:val="18"/>
                <w:lang w:val="en-US" w:eastAsia="zh-CN"/>
              </w:rPr>
              <w:t>60</w:t>
            </w:r>
            <w:r>
              <w:rPr>
                <w:rFonts w:hint="eastAsia" w:ascii="宋体" w:hAnsi="宋体" w:cs="宋体"/>
                <w:b/>
                <w:bCs/>
                <w:color w:val="FF0000"/>
                <w:kern w:val="0"/>
                <w:sz w:val="18"/>
                <w:szCs w:val="18"/>
              </w:rPr>
              <w:t>分</w:t>
            </w:r>
          </w:p>
        </w:tc>
        <w:tc>
          <w:tcPr>
            <w:tcW w:w="5386" w:type="dxa"/>
            <w:tcBorders>
              <w:top w:val="nil"/>
              <w:left w:val="nil"/>
              <w:bottom w:val="single" w:color="auto" w:sz="4" w:space="0"/>
              <w:right w:val="single" w:color="auto" w:sz="4" w:space="0"/>
            </w:tcBorders>
            <w:vAlign w:val="center"/>
          </w:tcPr>
          <w:p>
            <w:pPr>
              <w:widowControl/>
              <w:wordWrap w:val="0"/>
              <w:spacing w:line="240" w:lineRule="exact"/>
              <w:jc w:val="left"/>
              <w:rPr>
                <w:rFonts w:hint="eastAsia" w:ascii="宋体" w:hAnsi="宋体" w:cs="宋体"/>
                <w:b/>
                <w:bCs/>
                <w:color w:val="FF0000"/>
                <w:kern w:val="0"/>
                <w:sz w:val="18"/>
                <w:szCs w:val="18"/>
              </w:rPr>
            </w:pPr>
            <w:r>
              <w:rPr>
                <w:rFonts w:hint="eastAsia" w:ascii="宋体" w:hAnsi="宋体" w:cs="宋体"/>
                <w:b/>
                <w:bCs/>
                <w:color w:val="FF0000"/>
                <w:kern w:val="0"/>
                <w:sz w:val="18"/>
                <w:szCs w:val="18"/>
              </w:rPr>
              <w:t>平均价格法：-基建专用</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1、评标基准价：取所有合格投标人的有效报价的算术平均值*</w:t>
            </w:r>
            <w:r>
              <w:rPr>
                <w:rFonts w:ascii="宋体" w:hAnsi="宋体" w:cs="宋体"/>
                <w:b/>
                <w:bCs/>
                <w:color w:val="000000"/>
                <w:kern w:val="0"/>
                <w:sz w:val="18"/>
                <w:szCs w:val="18"/>
              </w:rPr>
              <w:t>0.95</w:t>
            </w:r>
            <w:r>
              <w:rPr>
                <w:rFonts w:hint="eastAsia" w:ascii="宋体" w:hAnsi="宋体" w:cs="宋体"/>
                <w:b/>
                <w:bCs/>
                <w:color w:val="000000"/>
                <w:kern w:val="0"/>
                <w:sz w:val="18"/>
                <w:szCs w:val="18"/>
              </w:rPr>
              <w:t>作为评标基准价</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2、偏差率=100%×｜评审价-评标基准价｜/评标基准价</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3、偏差系数：</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①如果投标人的评审价＞评标基准价，偏差系数为</w:t>
            </w:r>
            <w:r>
              <w:rPr>
                <w:rFonts w:hint="eastAsia" w:ascii="宋体" w:hAnsi="宋体" w:cs="宋体"/>
                <w:b/>
                <w:bCs/>
                <w:color w:val="0000FF"/>
                <w:kern w:val="0"/>
                <w:sz w:val="18"/>
                <w:szCs w:val="18"/>
              </w:rPr>
              <w:t>1.5</w:t>
            </w:r>
          </w:p>
          <w:p>
            <w:pPr>
              <w:widowControl/>
              <w:wordWrap w:val="0"/>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②如果投标人的评审价≤评标基准价，偏差系数为</w:t>
            </w:r>
            <w:r>
              <w:rPr>
                <w:rFonts w:hint="eastAsia" w:ascii="宋体" w:hAnsi="宋体" w:cs="宋体"/>
                <w:b/>
                <w:bCs/>
                <w:color w:val="0000FF"/>
                <w:kern w:val="0"/>
                <w:sz w:val="18"/>
                <w:szCs w:val="18"/>
              </w:rPr>
              <w:t>1</w:t>
            </w:r>
          </w:p>
          <w:p>
            <w:pPr>
              <w:widowControl/>
              <w:wordWrap w:val="0"/>
              <w:spacing w:line="240" w:lineRule="exact"/>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价格得分=价格满分-偏差率×偏差系数×价格满分</w:t>
            </w:r>
          </w:p>
        </w:tc>
        <w:tc>
          <w:tcPr>
            <w:tcW w:w="4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投标报价一览表所涉及的项目总价（</w:t>
            </w:r>
            <w:r>
              <w:rPr>
                <w:rFonts w:hint="eastAsia" w:ascii="宋体" w:hAnsi="宋体" w:cs="宋体"/>
                <w:b/>
                <w:bCs/>
                <w:color w:val="0000FF"/>
                <w:kern w:val="0"/>
                <w:sz w:val="18"/>
                <w:szCs w:val="18"/>
              </w:rPr>
              <w:t>含税</w:t>
            </w:r>
            <w:r>
              <w:rPr>
                <w:rFonts w:hint="eastAsia" w:ascii="宋体" w:hAnsi="宋体" w:cs="宋体"/>
                <w:b/>
                <w:bCs/>
                <w:color w:val="000000"/>
                <w:kern w:val="0"/>
                <w:sz w:val="18"/>
                <w:szCs w:val="18"/>
              </w:rPr>
              <w:t>）</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各分项报价保留小数点后2位有效数字</w:t>
            </w:r>
          </w:p>
          <w:bookmarkEnd w:id="13"/>
        </w:tc>
      </w:tr>
    </w:tbl>
    <w:p>
      <w:pPr>
        <w:rPr>
          <w:rFonts w:hint="eastAsia" w:ascii="等线" w:hAnsi="等线" w:eastAsia="等线"/>
          <w:b/>
          <w:bCs/>
          <w:sz w:val="18"/>
          <w:szCs w:val="18"/>
        </w:rPr>
      </w:pP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
      <w:lvlText w:val="%3"/>
      <w:lvlJc w:val="left"/>
      <w:pPr>
        <w:ind w:left="0" w:firstLine="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09845B3"/>
    <w:multiLevelType w:val="multilevel"/>
    <w:tmpl w:val="709845B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42263E"/>
    <w:rsid w:val="004226BD"/>
    <w:rsid w:val="004369AD"/>
    <w:rsid w:val="004622C9"/>
    <w:rsid w:val="004647BB"/>
    <w:rsid w:val="00464AFF"/>
    <w:rsid w:val="004A5A99"/>
    <w:rsid w:val="004D34D3"/>
    <w:rsid w:val="0051567C"/>
    <w:rsid w:val="00520ABA"/>
    <w:rsid w:val="005529F3"/>
    <w:rsid w:val="00560705"/>
    <w:rsid w:val="00577294"/>
    <w:rsid w:val="005A3146"/>
    <w:rsid w:val="005A590D"/>
    <w:rsid w:val="005C3CA5"/>
    <w:rsid w:val="005C6EAE"/>
    <w:rsid w:val="005E5FA8"/>
    <w:rsid w:val="005F54F8"/>
    <w:rsid w:val="00617A00"/>
    <w:rsid w:val="00627020"/>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70154"/>
    <w:rsid w:val="00773E90"/>
    <w:rsid w:val="007A1BA8"/>
    <w:rsid w:val="007A32BB"/>
    <w:rsid w:val="007A7EBB"/>
    <w:rsid w:val="007B5EAE"/>
    <w:rsid w:val="007E72ED"/>
    <w:rsid w:val="007F7DC7"/>
    <w:rsid w:val="00837E10"/>
    <w:rsid w:val="008450B7"/>
    <w:rsid w:val="00852DB8"/>
    <w:rsid w:val="00862DA9"/>
    <w:rsid w:val="00871A69"/>
    <w:rsid w:val="00892C81"/>
    <w:rsid w:val="009051D8"/>
    <w:rsid w:val="00935728"/>
    <w:rsid w:val="00956A02"/>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5276"/>
    <w:rsid w:val="00B737BA"/>
    <w:rsid w:val="00BA3827"/>
    <w:rsid w:val="00BB16E0"/>
    <w:rsid w:val="00BB45F0"/>
    <w:rsid w:val="00BE1AA5"/>
    <w:rsid w:val="00BF6E8D"/>
    <w:rsid w:val="00C17EF4"/>
    <w:rsid w:val="00C26D29"/>
    <w:rsid w:val="00C3109C"/>
    <w:rsid w:val="00C31999"/>
    <w:rsid w:val="00C3537D"/>
    <w:rsid w:val="00C41956"/>
    <w:rsid w:val="00C57249"/>
    <w:rsid w:val="00CA2B21"/>
    <w:rsid w:val="00CB25DB"/>
    <w:rsid w:val="00CB5CB7"/>
    <w:rsid w:val="00CC409F"/>
    <w:rsid w:val="00CF7EB6"/>
    <w:rsid w:val="00D02256"/>
    <w:rsid w:val="00D1191E"/>
    <w:rsid w:val="00D34B45"/>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A6120"/>
    <w:rsid w:val="00FB031B"/>
    <w:rsid w:val="00FB1B5D"/>
    <w:rsid w:val="00FB1D21"/>
    <w:rsid w:val="00FB60F2"/>
    <w:rsid w:val="00FC0368"/>
    <w:rsid w:val="022551BE"/>
    <w:rsid w:val="02BF0A2C"/>
    <w:rsid w:val="28D64C70"/>
    <w:rsid w:val="2A9A6A3F"/>
    <w:rsid w:val="2C525D2E"/>
    <w:rsid w:val="2C9C69E0"/>
    <w:rsid w:val="2CE360C1"/>
    <w:rsid w:val="308560FA"/>
    <w:rsid w:val="40394773"/>
    <w:rsid w:val="464A4625"/>
    <w:rsid w:val="482960B1"/>
    <w:rsid w:val="54326540"/>
    <w:rsid w:val="5B606120"/>
    <w:rsid w:val="643C6F6D"/>
    <w:rsid w:val="66CA10FA"/>
    <w:rsid w:val="681475F9"/>
    <w:rsid w:val="69DC5C4C"/>
    <w:rsid w:val="70BF30CF"/>
    <w:rsid w:val="73A06E5D"/>
    <w:rsid w:val="76CF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0"/>
    <w:rPr>
      <w:b/>
      <w:bCs/>
    </w:rPr>
  </w:style>
  <w:style w:type="paragraph" w:styleId="4">
    <w:name w:val="annotation text"/>
    <w:basedOn w:val="1"/>
    <w:link w:val="21"/>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Balloon Text"/>
    <w:basedOn w:val="1"/>
    <w:link w:val="26"/>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auto"/>
      <w:sz w:val="20"/>
      <w:szCs w:val="20"/>
      <w:u w:val="none"/>
    </w:rPr>
  </w:style>
  <w:style w:type="character" w:customStyle="1" w:styleId="17">
    <w:name w:val="font61"/>
    <w:basedOn w:val="10"/>
    <w:qFormat/>
    <w:uiPriority w:val="0"/>
    <w:rPr>
      <w:rFonts w:hint="eastAsia" w:ascii="宋体" w:hAnsi="宋体" w:eastAsia="宋体" w:cs="宋体"/>
      <w:color w:val="000000"/>
      <w:sz w:val="20"/>
      <w:szCs w:val="20"/>
      <w:u w:val="none"/>
    </w:rPr>
  </w:style>
  <w:style w:type="character" w:customStyle="1" w:styleId="18">
    <w:name w:val="font81"/>
    <w:basedOn w:val="10"/>
    <w:qFormat/>
    <w:uiPriority w:val="0"/>
    <w:rPr>
      <w:rFonts w:hint="eastAsia" w:ascii="宋体" w:hAnsi="宋体" w:eastAsia="宋体" w:cs="宋体"/>
      <w:b/>
      <w:color w:val="1F497D"/>
      <w:sz w:val="20"/>
      <w:szCs w:val="20"/>
      <w:u w:val="none"/>
    </w:rPr>
  </w:style>
  <w:style w:type="character" w:customStyle="1" w:styleId="19">
    <w:name w:val="font91"/>
    <w:basedOn w:val="10"/>
    <w:qFormat/>
    <w:uiPriority w:val="0"/>
    <w:rPr>
      <w:rFonts w:hint="eastAsia" w:ascii="宋体" w:hAnsi="宋体" w:eastAsia="宋体" w:cs="宋体"/>
      <w:b/>
      <w:color w:val="FF0000"/>
      <w:sz w:val="20"/>
      <w:szCs w:val="20"/>
      <w:u w:val="none"/>
    </w:rPr>
  </w:style>
  <w:style w:type="character" w:customStyle="1" w:styleId="20">
    <w:name w:val="font51"/>
    <w:basedOn w:val="10"/>
    <w:qFormat/>
    <w:uiPriority w:val="0"/>
    <w:rPr>
      <w:rFonts w:hint="eastAsia" w:ascii="宋体" w:hAnsi="宋体" w:eastAsia="宋体" w:cs="宋体"/>
      <w:color w:val="000000"/>
      <w:sz w:val="20"/>
      <w:szCs w:val="20"/>
      <w:u w:val="none"/>
    </w:rPr>
  </w:style>
  <w:style w:type="character" w:customStyle="1" w:styleId="21">
    <w:name w:val="批注文字 字符"/>
    <w:basedOn w:val="10"/>
    <w:link w:val="4"/>
    <w:qFormat/>
    <w:uiPriority w:val="0"/>
    <w:rPr>
      <w:rFonts w:ascii="Calibri" w:hAnsi="Calibri"/>
      <w:kern w:val="2"/>
      <w:sz w:val="21"/>
      <w:szCs w:val="22"/>
    </w:rPr>
  </w:style>
  <w:style w:type="character" w:customStyle="1" w:styleId="22">
    <w:name w:val="批注主题 字符"/>
    <w:basedOn w:val="21"/>
    <w:link w:val="3"/>
    <w:qFormat/>
    <w:uiPriority w:val="0"/>
    <w:rPr>
      <w:rFonts w:ascii="Calibri" w:hAnsi="Calibri"/>
      <w:b/>
      <w:bCs/>
      <w:kern w:val="2"/>
      <w:sz w:val="21"/>
      <w:szCs w:val="22"/>
    </w:rPr>
  </w:style>
  <w:style w:type="character" w:customStyle="1" w:styleId="23">
    <w:name w:val="页眉 字符"/>
    <w:basedOn w:val="10"/>
    <w:link w:val="8"/>
    <w:qFormat/>
    <w:uiPriority w:val="0"/>
    <w:rPr>
      <w:rFonts w:ascii="Calibri" w:hAnsi="Calibri"/>
      <w:kern w:val="2"/>
      <w:sz w:val="18"/>
      <w:szCs w:val="18"/>
    </w:rPr>
  </w:style>
  <w:style w:type="character" w:customStyle="1" w:styleId="24">
    <w:name w:val="页脚 字符"/>
    <w:basedOn w:val="10"/>
    <w:link w:val="7"/>
    <w:qFormat/>
    <w:uiPriority w:val="0"/>
    <w:rPr>
      <w:rFonts w:ascii="Calibri" w:hAnsi="Calibri"/>
      <w:kern w:val="2"/>
      <w:sz w:val="18"/>
      <w:szCs w:val="18"/>
    </w:rPr>
  </w:style>
  <w:style w:type="character" w:customStyle="1" w:styleId="25">
    <w:name w:val="Unresolved Mention"/>
    <w:basedOn w:val="10"/>
    <w:semiHidden/>
    <w:unhideWhenUsed/>
    <w:qFormat/>
    <w:uiPriority w:val="99"/>
    <w:rPr>
      <w:color w:val="605E5C"/>
      <w:shd w:val="clear" w:color="auto" w:fill="E1DFDD"/>
    </w:rPr>
  </w:style>
  <w:style w:type="character" w:customStyle="1" w:styleId="26">
    <w:name w:val="批注框文本 字符"/>
    <w:basedOn w:val="10"/>
    <w:link w:val="6"/>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 w:type="paragraph" w:customStyle="1" w:styleId="28">
    <w:name w:val="_Style 27"/>
    <w:basedOn w:val="1"/>
    <w:next w:val="14"/>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733</Words>
  <Characters>4183</Characters>
  <Lines>34</Lines>
  <Paragraphs>9</Paragraphs>
  <TotalTime>0</TotalTime>
  <ScaleCrop>false</ScaleCrop>
  <LinksUpToDate>false</LinksUpToDate>
  <CharactersWithSpaces>4907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2025-02-25T07:13:00Z</dcterms:created>
  <dc:creator>chenyaohui</dc:creator>
  <cp:lastModifiedBy>lichenghao</cp:lastModifiedBy>
  <dcterms:modified xsi:type="dcterms:W3CDTF">2026-03-17T02:14:23Z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