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淋雨房</w:t>
      </w: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</w:rPr>
        <w:t>改造方案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1、项目实施方案选址对现有淋雨房进行拆除改造，理由如下：该位置毗邻完备车间，淋雨房前方道路可直接进行淋雨后动态测试车辆密封效果。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2、淋雨房改造具体方案说明：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（1）为确保淋雨房满足行标要求，需对以下项目进行改造：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① 淋雨喷头间隔由800mm改造为400mm；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② 增加车辆前部喷淋功能、单独阀门控制；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③ 增加底部喷淋系统、单独阀门控制；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④ 淋雨后采用高压水枪模拟洗车测试（淋雨房前端各2个）、单独阀门控制；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（2）为满足不同长度车型淋雨适用性：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① 1-3号淋雨房需要往前(入口)延伸800mm，确保可适用于18米车辆淋雨检验；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② 5号淋雨房需要往后(淋雨房尾部)延伸1000mm；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（3）为提升耐腐蚀性，淋雨房全部采用不锈钢材料：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① 淋雨房钢架改为304不锈钢材质钢架；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② 每个淋雨房隔间三侧增加304不锈钢板，(4#\5#加高2米）总面积约 1700m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③ 淋雨房不要有顶改露天，不会长期潮湿；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（4）为改善淋雨房使用便捷性：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① 每个淋雨房增加射灯；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② 遥控器信号接收器更换(5个淋雨房)；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③ 淋雨时间设计定时功能；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④ 淋雨房分管喷头处加装测试堵头；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（5）地面改造为防滑地面，并找坡过渡，改造面积约 450m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；并在每个淋雨房地面两侧增加304不锈钢格栅走道，高50mm，宽300mm，总面积为55m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leftChars="0" w:right="63" w:rightChars="30" w:firstLine="480" w:firstLineChars="200"/>
        <w:jc w:val="both"/>
        <w:textAlignment w:val="center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（6）新增蓄水池及对现有蓄水池进行改造，增加过滤网，并安装相关水泵、水泵房、控制柜、电气等设施。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288" w:lineRule="auto"/>
        <w:ind w:right="63" w:rightChars="30"/>
        <w:jc w:val="both"/>
        <w:textAlignment w:val="center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4612640" cy="1623060"/>
            <wp:effectExtent l="0" t="0" r="16510" b="15240"/>
            <wp:docPr id="1" name="图片 2" descr="企业微信截图_1726033882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企业微信截图_172603388215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264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41939"/>
    <w:rsid w:val="13E370AC"/>
    <w:rsid w:val="13E81081"/>
    <w:rsid w:val="154F2976"/>
    <w:rsid w:val="7248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yugl</dc:creator>
  <cp:lastModifiedBy>余国亮</cp:lastModifiedBy>
  <dcterms:modified xsi:type="dcterms:W3CDTF">2026-01-19T08:15:21Z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