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adjustRightInd w:val="0"/>
        <w:snapToGrid w:val="0"/>
        <w:spacing w:before="0" w:after="120"/>
        <w:rPr>
          <w:sz w:val="30"/>
          <w:szCs w:val="30"/>
        </w:rPr>
      </w:pPr>
      <w:bookmarkStart w:id="0" w:name="_Toc20631"/>
      <w:bookmarkStart w:id="1" w:name="_Toc17193"/>
      <w:bookmarkStart w:id="2" w:name="_Toc97560485"/>
      <w:bookmarkStart w:id="3" w:name="_Toc5934"/>
      <w:bookmarkStart w:id="4" w:name="_Toc21409"/>
      <w:bookmarkStart w:id="5" w:name="_Toc14358"/>
      <w:bookmarkStart w:id="6" w:name="_Toc26315"/>
      <w:bookmarkStart w:id="7" w:name="_Toc19915"/>
      <w:bookmarkStart w:id="8" w:name="OLE_LINK3"/>
      <w:r>
        <w:rPr>
          <w:rFonts w:hint="eastAsia"/>
          <w:color w:val="0000FF"/>
          <w:sz w:val="30"/>
          <w:szCs w:val="30"/>
          <w:lang w:eastAsia="zh-CN"/>
        </w:rPr>
        <w:t>路试跑道新增涉水路面及特殊路况</w:t>
      </w:r>
      <w:r>
        <w:rPr>
          <w:rFonts w:hint="eastAsia"/>
          <w:sz w:val="30"/>
          <w:szCs w:val="30"/>
        </w:rPr>
        <w:t>项目综合</w:t>
      </w:r>
      <w:bookmarkEnd w:id="0"/>
      <w:bookmarkEnd w:id="1"/>
      <w:bookmarkEnd w:id="2"/>
      <w:bookmarkEnd w:id="3"/>
      <w:bookmarkEnd w:id="4"/>
      <w:bookmarkEnd w:id="5"/>
      <w:bookmarkEnd w:id="6"/>
      <w:bookmarkEnd w:id="7"/>
      <w:r>
        <w:rPr>
          <w:rFonts w:hint="eastAsia"/>
          <w:sz w:val="30"/>
          <w:szCs w:val="30"/>
        </w:rPr>
        <w:t>评审法方案</w:t>
      </w:r>
      <w:bookmarkEnd w:id="8"/>
    </w:p>
    <w:p>
      <w:pPr>
        <w:pStyle w:val="14"/>
        <w:numPr>
          <w:ilvl w:val="0"/>
          <w:numId w:val="1"/>
        </w:numPr>
        <w:spacing w:before="156" w:beforeLines="50" w:after="156" w:afterLines="50" w:line="440" w:lineRule="exact"/>
        <w:ind w:left="442" w:hanging="442" w:firstLineChars="0"/>
        <w:outlineLvl w:val="1"/>
        <w:rPr>
          <w:rFonts w:hint="eastAsia" w:ascii="宋体" w:hAnsi="宋体"/>
          <w:b/>
          <w:sz w:val="28"/>
          <w:szCs w:val="28"/>
        </w:rPr>
      </w:pPr>
      <w:bookmarkStart w:id="9" w:name="OLE_LINK22"/>
      <w:r>
        <w:rPr>
          <w:rFonts w:ascii="宋体" w:hAnsi="宋体"/>
          <w:b/>
          <w:sz w:val="28"/>
          <w:szCs w:val="28"/>
          <w:lang w:val="zh-CN"/>
        </w:rPr>
        <w:t>评标方法：综合</w:t>
      </w:r>
      <w:r>
        <w:rPr>
          <w:rFonts w:hint="eastAsia" w:ascii="宋体" w:hAnsi="宋体"/>
          <w:b/>
          <w:sz w:val="28"/>
          <w:szCs w:val="28"/>
          <w:lang w:val="zh-CN"/>
        </w:rPr>
        <w:t>评审</w:t>
      </w:r>
      <w:r>
        <w:rPr>
          <w:rFonts w:ascii="宋体" w:hAnsi="宋体"/>
          <w:b/>
          <w:sz w:val="28"/>
          <w:szCs w:val="28"/>
          <w:lang w:val="zh-CN"/>
        </w:rPr>
        <w:t>法</w:t>
      </w:r>
    </w:p>
    <w:p>
      <w:pPr>
        <w:spacing w:line="360" w:lineRule="auto"/>
        <w:ind w:firstLine="480" w:firstLineChars="200"/>
        <w:rPr>
          <w:rFonts w:hint="eastAsia" w:ascii="宋体" w:hAnsi="宋体"/>
          <w:sz w:val="24"/>
          <w:lang w:val="zh-CN"/>
        </w:rPr>
      </w:pPr>
      <w:bookmarkStart w:id="10" w:name="OLE_LINK6"/>
      <w:r>
        <w:rPr>
          <w:rFonts w:ascii="宋体" w:hAnsi="宋体"/>
          <w:sz w:val="24"/>
          <w:lang w:val="zh-CN"/>
        </w:rPr>
        <w:t>对所有投标人的投标文件评审，都采用相同的程序和标准。</w:t>
      </w:r>
    </w:p>
    <w:p>
      <w:pPr>
        <w:pStyle w:val="14"/>
        <w:numPr>
          <w:ilvl w:val="0"/>
          <w:numId w:val="2"/>
        </w:numPr>
        <w:spacing w:line="360" w:lineRule="auto"/>
        <w:ind w:left="0" w:firstLine="480"/>
        <w:rPr>
          <w:rFonts w:hint="eastAsia" w:ascii="宋体" w:hAnsi="宋体"/>
        </w:rPr>
      </w:pPr>
      <w:r>
        <w:rPr>
          <w:rFonts w:hint="eastAsia" w:ascii="宋体" w:hAnsi="宋体"/>
        </w:rPr>
        <w:t>采购评标小组成员</w:t>
      </w:r>
    </w:p>
    <w:p>
      <w:pPr>
        <w:spacing w:line="360" w:lineRule="auto"/>
        <w:ind w:firstLine="480" w:firstLineChars="200"/>
        <w:rPr>
          <w:rFonts w:hint="eastAsia" w:ascii="宋体" w:hAnsi="宋体"/>
          <w:sz w:val="24"/>
        </w:rPr>
      </w:pPr>
      <w:r>
        <w:rPr>
          <w:rFonts w:hint="eastAsia" w:ascii="宋体" w:hAnsi="宋体"/>
          <w:sz w:val="24"/>
        </w:rPr>
        <w:t>①开标评审人员均按项目类别由系统随机在金龙公司的开标评审人才库随机抽选；监标人员由金龙公司招标中心人员担任。</w:t>
      </w:r>
    </w:p>
    <w:p>
      <w:pPr>
        <w:spacing w:line="360" w:lineRule="auto"/>
        <w:ind w:firstLine="480" w:firstLineChars="200"/>
        <w:rPr>
          <w:rFonts w:hint="eastAsia" w:ascii="宋体" w:hAnsi="宋体"/>
          <w:sz w:val="24"/>
        </w:rPr>
      </w:pPr>
      <w:r>
        <w:rPr>
          <w:rFonts w:hint="eastAsia" w:ascii="宋体" w:hAnsi="宋体"/>
          <w:sz w:val="24"/>
        </w:rPr>
        <w:t>②针对技术复杂、专业性强或者存在特殊原因的由采购承办部门&amp;招标中心根据情况指定评标人员。</w:t>
      </w:r>
    </w:p>
    <w:p>
      <w:pPr>
        <w:spacing w:line="360" w:lineRule="auto"/>
        <w:ind w:firstLine="480" w:firstLineChars="200"/>
        <w:rPr>
          <w:rFonts w:hint="eastAsia" w:ascii="宋体" w:hAnsi="宋体"/>
          <w:sz w:val="24"/>
          <w:lang w:val="zh-CN"/>
        </w:rPr>
      </w:pPr>
      <w:r>
        <w:rPr>
          <w:rFonts w:hint="eastAsia" w:ascii="宋体" w:hAnsi="宋体"/>
          <w:sz w:val="24"/>
        </w:rPr>
        <w:t>③评标人员成员一般为5人及以上单数。</w:t>
      </w:r>
    </w:p>
    <w:p>
      <w:pPr>
        <w:pStyle w:val="14"/>
        <w:numPr>
          <w:ilvl w:val="0"/>
          <w:numId w:val="2"/>
        </w:numPr>
        <w:spacing w:line="360" w:lineRule="auto"/>
        <w:ind w:left="0" w:firstLine="480"/>
        <w:rPr>
          <w:rFonts w:hint="eastAsia" w:ascii="宋体" w:hAnsi="宋体"/>
          <w:lang w:val="zh-CN"/>
        </w:rPr>
      </w:pPr>
      <w:r>
        <w:rPr>
          <w:rFonts w:ascii="宋体" w:hAnsi="宋体"/>
          <w:lang w:val="zh-CN"/>
        </w:rPr>
        <w:t>由</w:t>
      </w:r>
      <w:r>
        <w:rPr>
          <w:rFonts w:hint="eastAsia" w:ascii="宋体" w:hAnsi="宋体"/>
        </w:rPr>
        <w:t>招标评审小组成员</w:t>
      </w:r>
      <w:r>
        <w:rPr>
          <w:rFonts w:ascii="宋体" w:hAnsi="宋体"/>
          <w:lang w:val="zh-CN"/>
        </w:rPr>
        <w:t>根据</w:t>
      </w:r>
      <w:r>
        <w:rPr>
          <w:rFonts w:hint="eastAsia" w:ascii="宋体" w:hAnsi="宋体"/>
          <w:lang w:val="zh-CN"/>
        </w:rPr>
        <w:t>招标文件</w:t>
      </w:r>
      <w:r>
        <w:rPr>
          <w:rFonts w:hint="eastAsia" w:ascii="宋体" w:hAnsi="宋体"/>
        </w:rPr>
        <w:t>审核的</w:t>
      </w:r>
      <w:r>
        <w:rPr>
          <w:rFonts w:ascii="宋体" w:hAnsi="宋体"/>
          <w:lang w:val="zh-CN"/>
        </w:rPr>
        <w:t>要求</w:t>
      </w:r>
      <w:r>
        <w:rPr>
          <w:rFonts w:hint="eastAsia" w:ascii="宋体" w:hAnsi="宋体"/>
          <w:lang w:val="zh-CN"/>
        </w:rPr>
        <w:t>（</w:t>
      </w:r>
      <w:r>
        <w:rPr>
          <w:rFonts w:hint="eastAsia" w:ascii="宋体" w:hAnsi="宋体"/>
        </w:rPr>
        <w:t>评审项目、内容、相关佐证材料</w:t>
      </w:r>
      <w:r>
        <w:rPr>
          <w:rFonts w:hint="eastAsia" w:ascii="宋体" w:hAnsi="宋体"/>
          <w:lang w:val="zh-CN"/>
        </w:rPr>
        <w:t>）、</w:t>
      </w:r>
      <w:r>
        <w:rPr>
          <w:rFonts w:hint="eastAsia" w:ascii="宋体" w:hAnsi="宋体"/>
        </w:rPr>
        <w:t>评分标准和计分方法</w:t>
      </w:r>
      <w:r>
        <w:rPr>
          <w:rFonts w:ascii="宋体" w:hAnsi="宋体"/>
          <w:lang w:val="zh-CN"/>
        </w:rPr>
        <w:t>，审核</w:t>
      </w:r>
      <w:r>
        <w:rPr>
          <w:rFonts w:hint="eastAsia" w:ascii="宋体" w:hAnsi="宋体"/>
        </w:rPr>
        <w:t>和评审</w:t>
      </w:r>
      <w:r>
        <w:rPr>
          <w:rFonts w:ascii="宋体" w:hAnsi="宋体"/>
          <w:lang w:val="zh-CN"/>
        </w:rPr>
        <w:t>各</w:t>
      </w:r>
      <w:r>
        <w:rPr>
          <w:rFonts w:hint="eastAsia" w:ascii="宋体" w:hAnsi="宋体"/>
          <w:lang w:val="zh-CN"/>
        </w:rPr>
        <w:t>投标方的</w:t>
      </w:r>
      <w:r>
        <w:rPr>
          <w:rFonts w:ascii="宋体" w:hAnsi="宋体"/>
          <w:lang w:val="zh-CN"/>
        </w:rPr>
        <w:t>投标文件</w:t>
      </w:r>
      <w:r>
        <w:rPr>
          <w:rFonts w:hint="eastAsia" w:ascii="宋体" w:hAnsi="宋体"/>
        </w:rPr>
        <w:t>的审核部分</w:t>
      </w:r>
      <w:r>
        <w:rPr>
          <w:rFonts w:ascii="宋体" w:hAnsi="宋体"/>
          <w:lang w:val="zh-CN"/>
        </w:rPr>
        <w:t>是否合格、有效</w:t>
      </w:r>
      <w:r>
        <w:rPr>
          <w:rFonts w:hint="eastAsia" w:ascii="宋体" w:hAnsi="宋体"/>
        </w:rPr>
        <w:t>或评价审核得分</w:t>
      </w:r>
      <w:r>
        <w:rPr>
          <w:rFonts w:hint="eastAsia" w:ascii="宋体" w:hAnsi="宋体"/>
          <w:lang w:val="zh-CN"/>
        </w:rPr>
        <w:t>（</w:t>
      </w:r>
      <w:r>
        <w:rPr>
          <w:rFonts w:ascii="宋体" w:hAnsi="宋体"/>
          <w:lang w:val="zh-CN"/>
        </w:rPr>
        <w:t>凡不符合专业条件要求</w:t>
      </w:r>
      <w:r>
        <w:rPr>
          <w:rFonts w:hint="eastAsia" w:ascii="宋体" w:hAnsi="宋体"/>
          <w:lang w:val="zh-CN"/>
        </w:rPr>
        <w:t>项</w:t>
      </w:r>
      <w:r>
        <w:rPr>
          <w:rFonts w:ascii="宋体" w:hAnsi="宋体"/>
          <w:lang w:val="zh-CN"/>
        </w:rPr>
        <w:t>和未实质性响应</w:t>
      </w:r>
      <w:r>
        <w:rPr>
          <w:rFonts w:hint="eastAsia" w:ascii="宋体" w:hAnsi="宋体"/>
        </w:rPr>
        <w:t>审核</w:t>
      </w:r>
      <w:r>
        <w:rPr>
          <w:rFonts w:hint="eastAsia" w:ascii="宋体" w:hAnsi="宋体"/>
          <w:lang w:val="zh-CN"/>
        </w:rPr>
        <w:t>文件</w:t>
      </w:r>
      <w:r>
        <w:rPr>
          <w:rFonts w:ascii="宋体" w:hAnsi="宋体"/>
          <w:lang w:val="zh-CN"/>
        </w:rPr>
        <w:t>要求的</w:t>
      </w:r>
      <w:r>
        <w:rPr>
          <w:rFonts w:hint="eastAsia" w:ascii="宋体" w:hAnsi="宋体"/>
          <w:lang w:val="zh-CN"/>
        </w:rPr>
        <w:t>内容项</w:t>
      </w:r>
      <w:r>
        <w:rPr>
          <w:rFonts w:ascii="宋体" w:hAnsi="宋体"/>
          <w:lang w:val="zh-CN"/>
        </w:rPr>
        <w:t>均不</w:t>
      </w:r>
      <w:r>
        <w:rPr>
          <w:rFonts w:hint="eastAsia" w:ascii="宋体" w:hAnsi="宋体"/>
          <w:lang w:val="zh-CN"/>
        </w:rPr>
        <w:t>得分）</w:t>
      </w:r>
      <w:r>
        <w:rPr>
          <w:rFonts w:ascii="宋体" w:hAnsi="宋体"/>
          <w:lang w:val="zh-CN"/>
        </w:rPr>
        <w:t>。</w:t>
      </w:r>
    </w:p>
    <w:p>
      <w:pPr>
        <w:pStyle w:val="14"/>
        <w:numPr>
          <w:ilvl w:val="0"/>
          <w:numId w:val="2"/>
        </w:numPr>
        <w:spacing w:line="360" w:lineRule="auto"/>
        <w:ind w:left="0" w:firstLine="480"/>
        <w:rPr>
          <w:rFonts w:hint="eastAsia" w:ascii="宋体" w:hAnsi="宋体"/>
          <w:lang w:val="zh-CN"/>
        </w:rPr>
      </w:pPr>
      <w:r>
        <w:rPr>
          <w:rFonts w:ascii="宋体" w:hAnsi="宋体"/>
          <w:lang w:val="zh-CN"/>
        </w:rPr>
        <w:t>通过</w:t>
      </w:r>
      <w:r>
        <w:rPr>
          <w:rFonts w:hint="eastAsia" w:ascii="宋体" w:hAnsi="宋体"/>
          <w:lang w:val="zh-CN"/>
        </w:rPr>
        <w:t>企业入围预审审核的入围投标方</w:t>
      </w:r>
      <w:r>
        <w:rPr>
          <w:rFonts w:ascii="宋体" w:hAnsi="宋体"/>
          <w:lang w:val="zh-CN"/>
        </w:rPr>
        <w:t>，</w:t>
      </w:r>
      <w:r>
        <w:rPr>
          <w:rFonts w:hint="eastAsia" w:ascii="宋体" w:hAnsi="宋体"/>
        </w:rPr>
        <w:t>按照供应商能力审核评审项目/评分标准的评分标准和计分方法，对其供应商能力项进行评分和计分。</w:t>
      </w:r>
    </w:p>
    <w:p>
      <w:pPr>
        <w:pStyle w:val="14"/>
        <w:numPr>
          <w:ilvl w:val="0"/>
          <w:numId w:val="2"/>
        </w:numPr>
        <w:spacing w:line="360" w:lineRule="auto"/>
        <w:ind w:left="0" w:firstLine="480"/>
        <w:rPr>
          <w:rFonts w:hint="eastAsia" w:ascii="宋体" w:hAnsi="宋体"/>
          <w:lang w:val="zh-CN"/>
        </w:rPr>
      </w:pPr>
      <w:r>
        <w:rPr>
          <w:rFonts w:hint="eastAsia" w:ascii="宋体" w:hAnsi="宋体"/>
        </w:rPr>
        <w:t>根据商务价格评分标准和计分方法,对其投标报价项进行评分和计分。</w:t>
      </w:r>
    </w:p>
    <w:p>
      <w:pPr>
        <w:pStyle w:val="14"/>
        <w:numPr>
          <w:ilvl w:val="0"/>
          <w:numId w:val="2"/>
        </w:numPr>
        <w:spacing w:line="360" w:lineRule="auto"/>
        <w:ind w:left="0" w:firstLine="480"/>
        <w:rPr>
          <w:rFonts w:hint="eastAsia" w:ascii="宋体" w:hAnsi="宋体"/>
          <w:lang w:val="zh-CN"/>
        </w:rPr>
      </w:pPr>
      <w:r>
        <w:rPr>
          <w:rFonts w:hint="eastAsia" w:ascii="宋体" w:hAnsi="宋体"/>
        </w:rPr>
        <w:t>根据供应商能力项的评分、商务价格项的评分的分配分值权重进行加权计算，计算出评标评审的最终综合评估分数，并按照从高到低依次进行排名，得出评审结果</w:t>
      </w:r>
      <w:bookmarkEnd w:id="10"/>
      <w:r>
        <w:rPr>
          <w:rFonts w:hint="eastAsia" w:ascii="宋体" w:hAnsi="宋体"/>
        </w:rPr>
        <w:t>。</w:t>
      </w:r>
    </w:p>
    <w:p>
      <w:pPr>
        <w:pStyle w:val="14"/>
        <w:numPr>
          <w:ilvl w:val="0"/>
          <w:numId w:val="1"/>
        </w:numPr>
        <w:spacing w:before="156" w:beforeLines="50" w:after="156" w:afterLines="50" w:line="440" w:lineRule="exact"/>
        <w:ind w:left="442" w:hanging="442" w:firstLineChars="0"/>
        <w:outlineLvl w:val="1"/>
        <w:rPr>
          <w:rFonts w:hint="eastAsia" w:ascii="宋体" w:hAnsi="宋体"/>
          <w:b/>
          <w:color w:val="FF0000"/>
          <w:sz w:val="28"/>
          <w:szCs w:val="28"/>
          <w:lang w:val="zh-CN"/>
        </w:rPr>
      </w:pPr>
      <w:r>
        <w:rPr>
          <w:rFonts w:hint="eastAsia" w:ascii="宋体" w:hAnsi="宋体"/>
          <w:b/>
          <w:sz w:val="28"/>
          <w:szCs w:val="28"/>
          <w:lang w:val="zh-CN"/>
        </w:rPr>
        <w:t>评标标准</w:t>
      </w:r>
    </w:p>
    <w:p>
      <w:pPr>
        <w:pStyle w:val="14"/>
        <w:numPr>
          <w:ilvl w:val="0"/>
          <w:numId w:val="3"/>
        </w:numPr>
        <w:spacing w:line="360" w:lineRule="auto"/>
        <w:ind w:firstLineChars="0"/>
        <w:outlineLvl w:val="2"/>
        <w:rPr>
          <w:rFonts w:hint="eastAsia" w:ascii="宋体" w:hAnsi="宋体" w:cs="宋体"/>
          <w:b/>
          <w:lang w:val="zh-CN"/>
        </w:rPr>
      </w:pPr>
      <w:r>
        <w:rPr>
          <w:rFonts w:hint="eastAsia" w:ascii="宋体" w:hAnsi="宋体" w:cs="宋体"/>
          <w:b/>
        </w:rPr>
        <w:t>供应商商务B因素分</w:t>
      </w:r>
      <w:r>
        <w:rPr>
          <w:rFonts w:hint="eastAsia" w:ascii="宋体" w:hAnsi="宋体" w:cs="宋体"/>
          <w:b/>
          <w:lang w:val="zh-CN"/>
        </w:rPr>
        <w:t>F</w:t>
      </w:r>
      <w:r>
        <w:rPr>
          <w:rFonts w:hint="eastAsia" w:ascii="宋体" w:hAnsi="宋体" w:cs="宋体"/>
          <w:b/>
        </w:rPr>
        <w:t>1</w:t>
      </w:r>
      <w:r>
        <w:rPr>
          <w:rFonts w:hint="eastAsia" w:ascii="宋体" w:hAnsi="宋体" w:cs="宋体"/>
          <w:b/>
          <w:color w:val="FF0000"/>
          <w:lang w:val="zh-CN"/>
        </w:rPr>
        <w:t>（满分</w:t>
      </w:r>
      <w:r>
        <w:rPr>
          <w:rFonts w:hint="eastAsia" w:ascii="宋体" w:hAnsi="宋体" w:cs="宋体"/>
          <w:b/>
          <w:color w:val="FF0000"/>
        </w:rPr>
        <w:t>10分</w:t>
      </w:r>
      <w:r>
        <w:rPr>
          <w:rFonts w:hint="eastAsia" w:ascii="宋体" w:hAnsi="宋体" w:cs="宋体"/>
          <w:b/>
          <w:color w:val="FF0000"/>
          <w:lang w:val="zh-CN"/>
        </w:rPr>
        <w:t>）</w:t>
      </w:r>
    </w:p>
    <w:p>
      <w:pPr>
        <w:pStyle w:val="14"/>
        <w:spacing w:line="360" w:lineRule="auto"/>
        <w:ind w:firstLine="0" w:firstLineChars="0"/>
        <w:rPr>
          <w:rFonts w:hint="eastAsia" w:ascii="宋体" w:hAnsi="宋体" w:cs="宋体"/>
          <w:bCs/>
          <w:lang w:val="zh-CN"/>
        </w:rPr>
      </w:pPr>
      <w:r>
        <w:rPr>
          <w:rFonts w:hint="eastAsia" w:ascii="宋体" w:hAnsi="宋体" w:cs="宋体"/>
          <w:bCs/>
        </w:rPr>
        <w:t>见表一：</w:t>
      </w:r>
      <w:r>
        <w:rPr>
          <w:rFonts w:hint="eastAsia" w:ascii="宋体" w:hAnsi="宋体"/>
          <w:bCs/>
        </w:rPr>
        <w:t>供应商商务B评审</w:t>
      </w:r>
      <w:r>
        <w:rPr>
          <w:rFonts w:hint="eastAsia" w:ascii="宋体" w:hAnsi="宋体" w:cs="宋体"/>
          <w:bCs/>
        </w:rPr>
        <w:t>项目/评分标准,按表一内容及评审分值进行评审。</w:t>
      </w:r>
    </w:p>
    <w:p>
      <w:pPr>
        <w:pStyle w:val="14"/>
        <w:numPr>
          <w:ilvl w:val="0"/>
          <w:numId w:val="3"/>
        </w:numPr>
        <w:spacing w:line="360" w:lineRule="auto"/>
        <w:ind w:firstLineChars="0"/>
        <w:outlineLvl w:val="2"/>
        <w:rPr>
          <w:rFonts w:hint="eastAsia" w:ascii="宋体" w:hAnsi="宋体" w:cs="宋体"/>
          <w:b/>
          <w:lang w:val="zh-CN"/>
        </w:rPr>
      </w:pPr>
      <w:r>
        <w:rPr>
          <w:rFonts w:hint="eastAsia" w:ascii="宋体" w:hAnsi="宋体" w:cs="宋体"/>
          <w:b/>
        </w:rPr>
        <w:t>供应商技术T因素分F2</w:t>
      </w:r>
      <w:r>
        <w:rPr>
          <w:rFonts w:hint="eastAsia" w:ascii="宋体" w:hAnsi="宋体" w:cs="宋体"/>
          <w:b/>
          <w:color w:val="FF0000"/>
          <w:lang w:val="zh-CN"/>
        </w:rPr>
        <w:t>（满分</w:t>
      </w:r>
      <w:r>
        <w:rPr>
          <w:rFonts w:hint="eastAsia" w:ascii="宋体" w:hAnsi="宋体" w:cs="宋体"/>
          <w:b/>
          <w:color w:val="FF0000"/>
        </w:rPr>
        <w:t>30分</w:t>
      </w:r>
      <w:r>
        <w:rPr>
          <w:rFonts w:hint="eastAsia" w:ascii="宋体" w:hAnsi="宋体" w:cs="宋体"/>
          <w:b/>
          <w:color w:val="FF0000"/>
          <w:lang w:val="zh-CN"/>
        </w:rPr>
        <w:t>）</w:t>
      </w:r>
    </w:p>
    <w:p>
      <w:pPr>
        <w:pStyle w:val="14"/>
        <w:spacing w:line="360" w:lineRule="auto"/>
        <w:ind w:firstLine="0" w:firstLineChars="0"/>
        <w:rPr>
          <w:rFonts w:hint="eastAsia" w:ascii="宋体" w:hAnsi="宋体" w:cs="宋体"/>
          <w:bCs/>
        </w:rPr>
      </w:pPr>
      <w:r>
        <w:rPr>
          <w:rFonts w:hint="eastAsia" w:ascii="宋体" w:hAnsi="宋体" w:cs="宋体"/>
          <w:bCs/>
        </w:rPr>
        <w:t>见表二：</w:t>
      </w:r>
      <w:r>
        <w:rPr>
          <w:rFonts w:hint="eastAsia" w:ascii="宋体" w:hAnsi="宋体"/>
          <w:bCs/>
        </w:rPr>
        <w:t>供应商技术T评审</w:t>
      </w:r>
      <w:r>
        <w:rPr>
          <w:rFonts w:hint="eastAsia" w:ascii="宋体" w:hAnsi="宋体" w:cs="宋体"/>
          <w:bCs/>
        </w:rPr>
        <w:t>项目/评分标准,按表二内容及评审分值进行评审。</w:t>
      </w:r>
    </w:p>
    <w:p>
      <w:pPr>
        <w:pStyle w:val="14"/>
        <w:numPr>
          <w:ilvl w:val="0"/>
          <w:numId w:val="3"/>
        </w:numPr>
        <w:spacing w:line="360" w:lineRule="auto"/>
        <w:ind w:firstLineChars="0"/>
        <w:outlineLvl w:val="2"/>
        <w:rPr>
          <w:rFonts w:hint="eastAsia" w:ascii="宋体" w:hAnsi="宋体" w:cs="宋体"/>
          <w:b/>
          <w:lang w:val="zh-CN"/>
        </w:rPr>
      </w:pPr>
      <w:r>
        <w:rPr>
          <w:rFonts w:hint="eastAsia" w:ascii="宋体" w:hAnsi="宋体" w:cs="宋体"/>
          <w:b/>
        </w:rPr>
        <w:t>供应商</w:t>
      </w:r>
      <w:r>
        <w:rPr>
          <w:rFonts w:hint="eastAsia" w:ascii="宋体" w:hAnsi="宋体" w:cs="宋体"/>
          <w:b/>
          <w:szCs w:val="20"/>
        </w:rPr>
        <w:t>价格C</w:t>
      </w:r>
      <w:r>
        <w:rPr>
          <w:rFonts w:hint="eastAsia" w:ascii="宋体" w:hAnsi="宋体" w:cs="宋体"/>
          <w:b/>
          <w:szCs w:val="20"/>
          <w:lang w:val="zh-CN"/>
        </w:rPr>
        <w:t>因素分F</w:t>
      </w:r>
      <w:r>
        <w:rPr>
          <w:rFonts w:hint="eastAsia" w:ascii="宋体" w:hAnsi="宋体" w:cs="宋体"/>
          <w:b/>
          <w:szCs w:val="20"/>
        </w:rPr>
        <w:t>3</w:t>
      </w:r>
      <w:r>
        <w:rPr>
          <w:rFonts w:hint="eastAsia" w:ascii="宋体" w:hAnsi="宋体" w:cs="宋体"/>
          <w:b/>
          <w:color w:val="FF0000"/>
          <w:szCs w:val="20"/>
          <w:lang w:val="zh-CN"/>
        </w:rPr>
        <w:t>（满分</w:t>
      </w:r>
      <w:r>
        <w:rPr>
          <w:rFonts w:hint="eastAsia" w:ascii="宋体" w:hAnsi="宋体" w:cs="宋体"/>
          <w:b/>
          <w:color w:val="FF0000"/>
          <w:szCs w:val="20"/>
        </w:rPr>
        <w:t>60分）</w:t>
      </w:r>
    </w:p>
    <w:p>
      <w:pPr>
        <w:pStyle w:val="14"/>
        <w:spacing w:line="360" w:lineRule="auto"/>
        <w:ind w:firstLine="0" w:firstLineChars="0"/>
        <w:rPr>
          <w:rFonts w:hint="eastAsia" w:ascii="宋体" w:hAnsi="宋体" w:cs="宋体"/>
          <w:bCs/>
        </w:rPr>
      </w:pPr>
      <w:r>
        <w:rPr>
          <w:rFonts w:hint="eastAsia" w:ascii="宋体" w:hAnsi="宋体" w:cs="宋体"/>
          <w:bCs/>
        </w:rPr>
        <w:t>见表三：供应商价格C评审项目/评分标准,按表三内容及评审分值进行评审。</w:t>
      </w:r>
    </w:p>
    <w:p>
      <w:pPr>
        <w:pStyle w:val="14"/>
        <w:numPr>
          <w:ilvl w:val="0"/>
          <w:numId w:val="3"/>
        </w:numPr>
        <w:spacing w:line="360" w:lineRule="auto"/>
        <w:ind w:firstLineChars="0"/>
        <w:outlineLvl w:val="2"/>
        <w:rPr>
          <w:rFonts w:hint="eastAsia" w:ascii="宋体" w:hAnsi="宋体" w:cs="宋体"/>
          <w:b/>
          <w:lang w:val="zh-CN"/>
        </w:rPr>
      </w:pPr>
      <w:r>
        <w:rPr>
          <w:rFonts w:hint="eastAsia" w:ascii="宋体" w:hAnsi="宋体" w:cs="宋体"/>
          <w:b/>
          <w:lang w:val="zh-CN"/>
        </w:rPr>
        <w:t>评标</w:t>
      </w:r>
      <w:r>
        <w:rPr>
          <w:rFonts w:hint="eastAsia" w:ascii="宋体" w:hAnsi="宋体" w:cs="宋体"/>
          <w:b/>
        </w:rPr>
        <w:t>综合</w:t>
      </w:r>
      <w:r>
        <w:rPr>
          <w:rFonts w:hint="eastAsia" w:ascii="宋体" w:hAnsi="宋体" w:cs="宋体"/>
          <w:b/>
          <w:lang w:val="zh-CN"/>
        </w:rPr>
        <w:t>得分汇总</w:t>
      </w:r>
    </w:p>
    <w:p>
      <w:pPr>
        <w:tabs>
          <w:tab w:val="left" w:pos="0"/>
        </w:tabs>
        <w:spacing w:line="360" w:lineRule="auto"/>
        <w:ind w:firstLine="480" w:firstLineChars="200"/>
        <w:rPr>
          <w:rFonts w:hint="eastAsia" w:ascii="宋体" w:hAnsi="宋体"/>
          <w:kern w:val="0"/>
          <w:sz w:val="24"/>
        </w:rPr>
      </w:pPr>
      <w:r>
        <w:rPr>
          <w:rFonts w:hint="eastAsia" w:ascii="宋体" w:hAnsi="宋体"/>
          <w:kern w:val="0"/>
          <w:sz w:val="24"/>
        </w:rPr>
        <w:t>各部分评分分值分布及评分标准如下:</w:t>
      </w:r>
    </w:p>
    <w:p>
      <w:pPr>
        <w:tabs>
          <w:tab w:val="left" w:pos="0"/>
        </w:tabs>
        <w:spacing w:line="360" w:lineRule="auto"/>
        <w:ind w:firstLine="480" w:firstLineChars="200"/>
        <w:rPr>
          <w:rFonts w:hint="eastAsia" w:ascii="宋体" w:hAnsi="宋体"/>
          <w:kern w:val="0"/>
          <w:sz w:val="24"/>
        </w:rPr>
      </w:pPr>
      <w:r>
        <w:rPr>
          <w:rFonts w:hint="eastAsia" w:ascii="宋体" w:hAnsi="宋体"/>
          <w:kern w:val="0"/>
          <w:sz w:val="24"/>
        </w:rPr>
        <w:t>对各评审人员评分的投标方商务B部分、技术T部分、价格C部分的评分结果进行统计时，将以算术平均计算各有效投标人商务、技术、价格的最终得分，各项分数均保留至小数点后2位数（第3位四舍五入）。</w:t>
      </w:r>
    </w:p>
    <w:p>
      <w:pPr>
        <w:tabs>
          <w:tab w:val="left" w:pos="0"/>
        </w:tabs>
        <w:spacing w:line="360" w:lineRule="auto"/>
        <w:ind w:firstLine="482" w:firstLineChars="200"/>
        <w:rPr>
          <w:rFonts w:hint="eastAsia" w:ascii="宋体" w:hAnsi="宋体" w:cs="宋体"/>
          <w:b/>
          <w:color w:val="FF0000"/>
          <w:sz w:val="24"/>
          <w:szCs w:val="20"/>
        </w:rPr>
      </w:pPr>
      <w:r>
        <w:rPr>
          <w:rFonts w:hint="eastAsia" w:ascii="宋体" w:hAnsi="宋体"/>
          <w:b/>
          <w:color w:val="FF0000"/>
          <w:sz w:val="24"/>
        </w:rPr>
        <w:t>综合得分＝F1+F2</w:t>
      </w:r>
      <w:r>
        <w:rPr>
          <w:rFonts w:ascii="宋体" w:hAnsi="宋体"/>
          <w:b/>
          <w:color w:val="FF0000"/>
          <w:sz w:val="24"/>
        </w:rPr>
        <w:t>+F3</w:t>
      </w:r>
    </w:p>
    <w:p>
      <w:pPr>
        <w:pStyle w:val="14"/>
        <w:numPr>
          <w:ilvl w:val="0"/>
          <w:numId w:val="3"/>
        </w:numPr>
        <w:tabs>
          <w:tab w:val="left" w:pos="0"/>
        </w:tabs>
        <w:spacing w:line="360" w:lineRule="auto"/>
        <w:ind w:firstLineChars="0"/>
        <w:outlineLvl w:val="2"/>
        <w:rPr>
          <w:rFonts w:hint="eastAsia" w:ascii="宋体" w:hAnsi="宋体" w:cs="宋体"/>
          <w:b/>
          <w:color w:val="FF0000"/>
          <w:szCs w:val="20"/>
        </w:rPr>
      </w:pPr>
      <w:r>
        <w:rPr>
          <w:rFonts w:ascii="宋体" w:hAnsi="宋体" w:cs="宋体"/>
          <w:b/>
          <w:lang w:val="zh-CN"/>
        </w:rPr>
        <w:t>推荐</w:t>
      </w:r>
      <w:r>
        <w:rPr>
          <w:rFonts w:hint="eastAsia" w:ascii="宋体" w:hAnsi="宋体" w:cs="宋体"/>
          <w:b/>
          <w:lang w:val="zh-CN"/>
        </w:rPr>
        <w:t>中标候选人</w:t>
      </w:r>
      <w:r>
        <w:rPr>
          <w:rFonts w:ascii="宋体" w:hAnsi="宋体" w:cs="宋体"/>
          <w:b/>
          <w:lang w:val="zh-CN"/>
        </w:rPr>
        <w:t>名单</w:t>
      </w:r>
    </w:p>
    <w:p>
      <w:pPr>
        <w:spacing w:line="360" w:lineRule="auto"/>
        <w:ind w:firstLine="480" w:firstLineChars="200"/>
        <w:rPr>
          <w:rFonts w:hint="eastAsia" w:ascii="宋体" w:hAnsi="宋体" w:cs="宋体"/>
          <w:b/>
          <w:sz w:val="24"/>
          <w:lang w:val="zh-CN"/>
        </w:rPr>
      </w:pPr>
      <w:r>
        <w:rPr>
          <w:rFonts w:ascii="宋体" w:hAnsi="宋体" w:cs="宋体"/>
          <w:sz w:val="24"/>
        </w:rPr>
        <w:t>1、</w:t>
      </w:r>
      <w:r>
        <w:rPr>
          <w:rFonts w:hint="eastAsia" w:ascii="宋体" w:hAnsi="宋体" w:cs="宋体"/>
          <w:sz w:val="24"/>
        </w:rPr>
        <w:t>项目或各标段的中标候选人</w:t>
      </w:r>
      <w:r>
        <w:rPr>
          <w:rFonts w:ascii="宋体" w:hAnsi="宋体" w:cs="宋体"/>
          <w:sz w:val="24"/>
        </w:rPr>
        <w:t>数量：</w:t>
      </w:r>
      <w:r>
        <w:rPr>
          <w:rFonts w:ascii="宋体" w:hAnsi="宋体" w:cs="宋体"/>
          <w:b/>
          <w:sz w:val="24"/>
          <w:u w:val="single"/>
        </w:rPr>
        <w:t xml:space="preserve"> </w:t>
      </w:r>
      <w:r>
        <w:rPr>
          <w:rFonts w:hint="eastAsia" w:ascii="宋体" w:hAnsi="宋体" w:cs="宋体"/>
          <w:b/>
          <w:sz w:val="24"/>
          <w:u w:val="single"/>
        </w:rPr>
        <w:t xml:space="preserve"> </w:t>
      </w:r>
      <w:r>
        <w:rPr>
          <w:rFonts w:hint="eastAsia" w:ascii="宋体" w:hAnsi="宋体" w:cs="宋体"/>
          <w:b/>
          <w:color w:val="0000FF"/>
          <w:sz w:val="24"/>
          <w:u w:val="single"/>
        </w:rPr>
        <w:t xml:space="preserve">3 </w:t>
      </w:r>
      <w:r>
        <w:rPr>
          <w:rFonts w:ascii="宋体" w:hAnsi="宋体" w:cs="宋体"/>
          <w:b/>
          <w:sz w:val="24"/>
          <w:u w:val="single"/>
        </w:rPr>
        <w:t xml:space="preserve"> </w:t>
      </w:r>
      <w:r>
        <w:rPr>
          <w:rFonts w:ascii="宋体" w:hAnsi="宋体" w:cs="宋体"/>
          <w:sz w:val="24"/>
        </w:rPr>
        <w:t>个。</w:t>
      </w:r>
    </w:p>
    <w:p>
      <w:pPr>
        <w:spacing w:line="360" w:lineRule="auto"/>
        <w:ind w:firstLine="480" w:firstLineChars="200"/>
        <w:rPr>
          <w:rFonts w:hint="eastAsia" w:ascii="宋体" w:hAnsi="宋体" w:cs="宋体"/>
          <w:bCs/>
          <w:sz w:val="24"/>
        </w:rPr>
      </w:pPr>
      <w:r>
        <w:rPr>
          <w:rFonts w:ascii="宋体" w:hAnsi="宋体" w:cs="宋体"/>
          <w:sz w:val="24"/>
        </w:rPr>
        <w:t>2、</w:t>
      </w:r>
      <w:r>
        <w:rPr>
          <w:rFonts w:hint="eastAsia" w:ascii="宋体" w:hAnsi="宋体" w:cs="宋体"/>
          <w:sz w:val="24"/>
        </w:rPr>
        <w:t>中标候选人</w:t>
      </w:r>
      <w:r>
        <w:rPr>
          <w:rFonts w:ascii="宋体" w:hAnsi="宋体" w:cs="宋体"/>
          <w:sz w:val="24"/>
        </w:rPr>
        <w:t>排列顺序。经投标文件</w:t>
      </w:r>
      <w:r>
        <w:rPr>
          <w:rFonts w:hint="eastAsia" w:ascii="宋体" w:hAnsi="宋体"/>
          <w:sz w:val="24"/>
        </w:rPr>
        <w:t>资格审核</w:t>
      </w:r>
      <w:r>
        <w:rPr>
          <w:rFonts w:ascii="宋体" w:hAnsi="宋体" w:cs="宋体"/>
          <w:sz w:val="24"/>
        </w:rPr>
        <w:t>、澄清有关问题、比较与</w:t>
      </w:r>
      <w:r>
        <w:rPr>
          <w:rFonts w:hint="eastAsia" w:ascii="宋体" w:hAnsi="宋体" w:cs="宋体"/>
          <w:sz w:val="24"/>
        </w:rPr>
        <w:t>评审</w:t>
      </w:r>
      <w:r>
        <w:rPr>
          <w:rFonts w:ascii="宋体" w:hAnsi="宋体" w:cs="宋体"/>
          <w:sz w:val="24"/>
        </w:rPr>
        <w:t>评标程序后，按以下办法推荐</w:t>
      </w:r>
      <w:r>
        <w:rPr>
          <w:rFonts w:hint="eastAsia" w:ascii="宋体" w:hAnsi="宋体" w:cs="宋体"/>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hint="eastAsia" w:ascii="宋体" w:hAnsi="宋体" w:cs="宋体"/>
          <w:bCs/>
          <w:sz w:val="24"/>
        </w:rPr>
        <w:t>；综合</w:t>
      </w:r>
      <w:r>
        <w:rPr>
          <w:rFonts w:ascii="宋体" w:hAnsi="宋体" w:cs="宋体"/>
          <w:bCs/>
          <w:sz w:val="24"/>
        </w:rPr>
        <w:t>得分相同的，按</w:t>
      </w:r>
      <w:r>
        <w:rPr>
          <w:rFonts w:hint="eastAsia" w:ascii="宋体" w:hAnsi="宋体" w:cs="宋体"/>
          <w:bCs/>
          <w:sz w:val="24"/>
        </w:rPr>
        <w:t>商务报价分项</w:t>
      </w:r>
      <w:r>
        <w:rPr>
          <w:rFonts w:ascii="宋体" w:hAnsi="宋体" w:cs="宋体"/>
          <w:bCs/>
          <w:sz w:val="24"/>
        </w:rPr>
        <w:t>由低到高顺序排列</w:t>
      </w:r>
      <w:r>
        <w:rPr>
          <w:rFonts w:hint="eastAsia" w:ascii="宋体" w:hAnsi="宋体" w:cs="宋体"/>
          <w:bCs/>
          <w:sz w:val="24"/>
        </w:rPr>
        <w:t>；综合</w:t>
      </w:r>
      <w:r>
        <w:rPr>
          <w:rFonts w:ascii="宋体" w:hAnsi="宋体" w:cs="宋体"/>
          <w:bCs/>
          <w:sz w:val="24"/>
        </w:rPr>
        <w:t>得分且</w:t>
      </w:r>
      <w:r>
        <w:rPr>
          <w:rFonts w:hint="eastAsia" w:ascii="宋体" w:hAnsi="宋体" w:cs="宋体"/>
          <w:bCs/>
          <w:sz w:val="24"/>
        </w:rPr>
        <w:t>商务</w:t>
      </w:r>
      <w:r>
        <w:rPr>
          <w:rFonts w:ascii="宋体" w:hAnsi="宋体" w:cs="宋体"/>
          <w:bCs/>
          <w:sz w:val="24"/>
        </w:rPr>
        <w:t>报价相同的，按</w:t>
      </w:r>
      <w:r>
        <w:rPr>
          <w:rFonts w:hint="eastAsia" w:ascii="宋体" w:hAnsi="宋体" w:cs="宋体"/>
          <w:bCs/>
          <w:sz w:val="24"/>
        </w:rPr>
        <w:t>供应商在投标时的注册资本（若有入围预审的，以入围审核</w:t>
      </w:r>
      <w:r>
        <w:rPr>
          <w:rFonts w:ascii="宋体" w:hAnsi="宋体" w:cs="宋体"/>
          <w:bCs/>
          <w:sz w:val="24"/>
        </w:rPr>
        <w:t>得分</w:t>
      </w:r>
      <w:r>
        <w:rPr>
          <w:rFonts w:hint="eastAsia" w:ascii="宋体" w:hAnsi="宋体" w:cs="宋体"/>
          <w:bCs/>
          <w:sz w:val="24"/>
        </w:rPr>
        <w:t>）</w:t>
      </w:r>
      <w:r>
        <w:rPr>
          <w:rFonts w:ascii="宋体" w:hAnsi="宋体" w:cs="宋体"/>
          <w:bCs/>
          <w:sz w:val="24"/>
        </w:rPr>
        <w:t>由高到低顺序排列</w:t>
      </w:r>
      <w:r>
        <w:rPr>
          <w:rFonts w:hint="eastAsia" w:ascii="宋体" w:hAnsi="宋体" w:cs="宋体"/>
          <w:bCs/>
          <w:sz w:val="24"/>
        </w:rPr>
        <w:t>。</w:t>
      </w:r>
    </w:p>
    <w:p>
      <w:pPr>
        <w:pStyle w:val="14"/>
        <w:numPr>
          <w:ilvl w:val="0"/>
          <w:numId w:val="1"/>
        </w:numPr>
        <w:spacing w:before="156" w:beforeLines="50" w:after="156" w:afterLines="50" w:line="440" w:lineRule="exact"/>
        <w:ind w:left="442" w:hanging="442" w:firstLineChars="0"/>
        <w:outlineLvl w:val="1"/>
        <w:rPr>
          <w:rFonts w:hint="eastAsia" w:ascii="宋体" w:hAnsi="宋体"/>
          <w:b/>
          <w:sz w:val="28"/>
          <w:szCs w:val="28"/>
          <w:lang w:val="zh-CN"/>
        </w:rPr>
      </w:pPr>
      <w:r>
        <w:rPr>
          <w:rFonts w:ascii="宋体" w:hAnsi="宋体"/>
          <w:b/>
          <w:sz w:val="28"/>
          <w:szCs w:val="28"/>
          <w:lang w:val="zh-CN"/>
        </w:rPr>
        <w:t>定标原则</w:t>
      </w:r>
    </w:p>
    <w:p>
      <w:pPr>
        <w:spacing w:line="360" w:lineRule="auto"/>
        <w:ind w:firstLine="562" w:firstLineChars="200"/>
        <w:rPr>
          <w:rFonts w:hint="eastAsia" w:ascii="宋体" w:hAnsi="宋体"/>
          <w:b/>
          <w:sz w:val="28"/>
          <w:szCs w:val="28"/>
          <w:lang w:val="zh-CN"/>
        </w:rPr>
      </w:pPr>
      <w:r>
        <w:rPr>
          <w:rFonts w:ascii="宋体" w:hAnsi="宋体"/>
          <w:b/>
          <w:sz w:val="28"/>
          <w:szCs w:val="28"/>
          <w:lang w:val="zh-CN"/>
        </w:rPr>
        <w:t>确定中标供应商数量：</w:t>
      </w:r>
      <w:r>
        <w:rPr>
          <w:rFonts w:ascii="宋体" w:hAnsi="宋体"/>
          <w:b/>
          <w:sz w:val="28"/>
          <w:szCs w:val="28"/>
          <w:u w:val="single"/>
          <w:lang w:val="zh-CN"/>
        </w:rPr>
        <w:t xml:space="preserve"> </w:t>
      </w:r>
      <w:r>
        <w:rPr>
          <w:rFonts w:ascii="宋体" w:hAnsi="宋体"/>
          <w:b/>
          <w:color w:val="FF0000"/>
          <w:sz w:val="28"/>
          <w:szCs w:val="28"/>
          <w:u w:val="single"/>
        </w:rPr>
        <w:t>1</w:t>
      </w:r>
      <w:r>
        <w:rPr>
          <w:rFonts w:ascii="宋体" w:hAnsi="宋体"/>
          <w:b/>
          <w:sz w:val="28"/>
          <w:szCs w:val="28"/>
          <w:u w:val="single"/>
          <w:lang w:val="zh-CN"/>
        </w:rPr>
        <w:t xml:space="preserve"> </w:t>
      </w:r>
      <w:r>
        <w:rPr>
          <w:rFonts w:ascii="宋体" w:hAnsi="宋体"/>
          <w:b/>
          <w:sz w:val="28"/>
          <w:szCs w:val="28"/>
          <w:lang w:val="zh-CN"/>
        </w:rPr>
        <w:t>个。</w:t>
      </w:r>
    </w:p>
    <w:p>
      <w:pPr>
        <w:pStyle w:val="14"/>
        <w:numPr>
          <w:ilvl w:val="1"/>
          <w:numId w:val="2"/>
        </w:numPr>
        <w:spacing w:line="360" w:lineRule="auto"/>
        <w:ind w:left="0" w:firstLine="480"/>
      </w:pPr>
      <w:r>
        <w:rPr>
          <w:rFonts w:hint="eastAsia"/>
        </w:rPr>
        <w:t>招标方根据评标报告向需求公司提报评标评审结果以及招标应用方案，经需求公司审批后确定最终中标人。定标的最终解释权和自主权归属为招标方需求公司。</w:t>
      </w:r>
    </w:p>
    <w:p>
      <w:pPr>
        <w:pStyle w:val="14"/>
        <w:numPr>
          <w:ilvl w:val="1"/>
          <w:numId w:val="2"/>
        </w:numPr>
        <w:spacing w:line="360" w:lineRule="auto"/>
        <w:ind w:left="0" w:firstLine="480"/>
      </w:pPr>
      <w:r>
        <w:rPr>
          <w:rFonts w:hint="eastAsia"/>
        </w:rPr>
        <w:t>如有必要，招标方可自主决定到中标候选人处进行现场确认，根据招标文件要求进行实地评审和确认，投标方应予以配合；对存在投标方实际情况与所投标文件不一致的情况，招标方有权中止招标程序及中标人相应合同，执行启用备选中标人或重新招标。</w:t>
      </w:r>
    </w:p>
    <w:p>
      <w:pPr>
        <w:pStyle w:val="14"/>
        <w:numPr>
          <w:ilvl w:val="1"/>
          <w:numId w:val="2"/>
        </w:numPr>
        <w:spacing w:line="360" w:lineRule="auto"/>
        <w:ind w:left="0" w:firstLine="480"/>
      </w:pPr>
      <w:r>
        <w:rPr>
          <w:rFonts w:hint="eastAsia" w:hAnsi="宋体"/>
        </w:rPr>
        <w:t>在中标人无法通过现场审核或无法正常签订及履行合同的情况下，采购人有权依照中标候选人名单排序顺延其他中标候选人作为中标人或者重新组织招标</w:t>
      </w:r>
      <w:r>
        <w:rPr>
          <w:rFonts w:hint="eastAsia" w:ascii="宋体" w:hAnsi="宋体" w:cs="宋体"/>
        </w:rPr>
        <w:t>。</w:t>
      </w:r>
    </w:p>
    <w:p>
      <w:pPr>
        <w:spacing w:line="360" w:lineRule="auto"/>
        <w:rPr>
          <w:b/>
          <w:bCs/>
          <w:sz w:val="24"/>
          <w:szCs w:val="24"/>
        </w:rPr>
      </w:pPr>
      <w:r>
        <w:rPr>
          <w:b/>
          <w:bCs/>
          <w:sz w:val="24"/>
          <w:szCs w:val="24"/>
        </w:rPr>
        <w:t>投标人参与本项目的投标，即视为同意上述</w:t>
      </w:r>
      <w:r>
        <w:rPr>
          <w:rFonts w:hint="eastAsia"/>
          <w:b/>
          <w:bCs/>
          <w:sz w:val="24"/>
          <w:szCs w:val="24"/>
        </w:rPr>
        <w:t>定标方式。</w:t>
      </w:r>
    </w:p>
    <w:p>
      <w:pPr>
        <w:pStyle w:val="14"/>
        <w:numPr>
          <w:ilvl w:val="0"/>
          <w:numId w:val="1"/>
        </w:numPr>
        <w:spacing w:before="156" w:beforeLines="50" w:after="156" w:afterLines="50" w:line="440" w:lineRule="exact"/>
        <w:ind w:left="442" w:hanging="442" w:firstLineChars="0"/>
        <w:outlineLvl w:val="1"/>
        <w:rPr>
          <w:rFonts w:hint="eastAsia" w:ascii="宋体" w:hAnsi="宋体"/>
          <w:b/>
          <w:sz w:val="28"/>
          <w:szCs w:val="28"/>
          <w:lang w:val="zh-CN"/>
        </w:rPr>
      </w:pPr>
      <w:r>
        <w:rPr>
          <w:rFonts w:hint="eastAsia" w:ascii="宋体" w:hAnsi="宋体"/>
          <w:b/>
          <w:sz w:val="28"/>
          <w:szCs w:val="28"/>
          <w:lang w:val="zh-CN"/>
        </w:rPr>
        <w:t>评审相关及追责</w:t>
      </w:r>
    </w:p>
    <w:p>
      <w:pPr>
        <w:pStyle w:val="14"/>
        <w:numPr>
          <w:ilvl w:val="0"/>
          <w:numId w:val="4"/>
        </w:numPr>
        <w:spacing w:line="360" w:lineRule="auto"/>
        <w:ind w:left="0"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审小组各专家按照依法、客观、公正、审慎的原则，根据招标文件及综合评审法方案所规定的评标项目、评标方法和评标标准进行独立评标；不得自主改变或解释招标规则、自行编制评标标准和方法进行评审。不得私下接触投标人，不得接受任何单位或者个人明示或者暗示提出的倾向或者排斥特定投标人的要求；不得有其他不客观、不公正履行职务的行为。</w:t>
      </w:r>
    </w:p>
    <w:p>
      <w:pPr>
        <w:pStyle w:val="14"/>
        <w:numPr>
          <w:ilvl w:val="0"/>
          <w:numId w:val="4"/>
        </w:numPr>
        <w:spacing w:line="360" w:lineRule="auto"/>
        <w:ind w:left="0"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中心可对评审专家的评审数据进行校对、核对，对明显不合实际的畸高、畸低的重大差异评分，可以要求相应的评审专家进行书面说明理由，并提请招标中心复核及采购决策专委会审批，必要时申请原评审小组进行重新评审。</w:t>
      </w:r>
    </w:p>
    <w:p>
      <w:pPr>
        <w:pStyle w:val="14"/>
        <w:numPr>
          <w:ilvl w:val="0"/>
          <w:numId w:val="4"/>
        </w:numPr>
        <w:spacing w:line="360" w:lineRule="auto"/>
        <w:ind w:left="0"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标后履约管理由招标需求部门或相应采购部门负责；针对中标供应商的商务B、技术T、价格C方面，相应责任部门应建立起有效的合同履行和评价体系，进行有效监管。</w:t>
      </w:r>
    </w:p>
    <w:p>
      <w:pPr>
        <w:pStyle w:val="14"/>
        <w:spacing w:line="360" w:lineRule="auto"/>
        <w:ind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①若为中标人存在弄虚作假、隐瞒欺骗，造成严重的资质、技术、产品质量性能、交付供应、售后服务及其他承诺不履行等问题，将严格追究中标人的责任和造成损失的赔偿；</w:t>
      </w:r>
    </w:p>
    <w:p>
      <w:pPr>
        <w:pStyle w:val="14"/>
        <w:spacing w:line="360" w:lineRule="auto"/>
        <w:ind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②若为评审小组评审专家由于自身疏忽、不认真评审、未有效识别、异常评分或错误评标，造成劣质中标厂商导入、侵害其他潜在投标方的合法权益的，将禁止其在一定期限内参加相应招标项目的评标或取消其评标小组成员的资格，相应推荐部门进行通报批评。</w:t>
      </w:r>
    </w:p>
    <w:p>
      <w:pPr>
        <w:pStyle w:val="14"/>
        <w:numPr>
          <w:ilvl w:val="0"/>
          <w:numId w:val="4"/>
        </w:numPr>
        <w:spacing w:line="360" w:lineRule="auto"/>
        <w:ind w:left="0" w:firstLine="480"/>
        <w:rPr>
          <w:rFonts w:hint="eastAsia" w:ascii="宋体" w:hAnsi="宋体"/>
          <w:color w:val="000000" w:themeColor="text1"/>
          <w14:textFill>
            <w14:solidFill>
              <w14:schemeClr w14:val="tx1"/>
            </w14:solidFill>
          </w14:textFill>
        </w:rPr>
        <w:sectPr>
          <w:pgSz w:w="11906" w:h="16838"/>
          <w:pgMar w:top="1418" w:right="1134" w:bottom="851" w:left="1418" w:header="851" w:footer="992" w:gutter="0"/>
          <w:cols w:space="425" w:num="1"/>
          <w:docGrid w:type="lines" w:linePitch="312" w:charSpace="0"/>
        </w:sectPr>
      </w:pPr>
      <w:r>
        <w:rPr>
          <w:rFonts w:hint="eastAsia" w:ascii="宋体" w:hAnsi="宋体"/>
          <w:color w:val="000000" w:themeColor="text1"/>
          <w14:textFill>
            <w14:solidFill>
              <w14:schemeClr w14:val="tx1"/>
            </w14:solidFill>
          </w14:textFill>
        </w:rPr>
        <w:t>招标中心可组织对评审小组评标专家的履职情况进行评价，作为年度评标专家考核的依据，视阶段履职考核进行评审活动的劳务报酬、奖励分配及评审资格延续。</w:t>
      </w:r>
    </w:p>
    <w:bookmarkEnd w:id="9"/>
    <w:p>
      <w:pPr>
        <w:pStyle w:val="14"/>
        <w:spacing w:line="360" w:lineRule="auto"/>
        <w:ind w:left="357" w:firstLine="0" w:firstLineChars="0"/>
        <w:outlineLvl w:val="2"/>
        <w:rPr>
          <w:rFonts w:hint="eastAsia" w:ascii="宋体" w:hAnsi="宋体"/>
          <w:b/>
          <w:bCs/>
          <w:color w:val="0000FF"/>
        </w:rPr>
      </w:pPr>
      <w:r>
        <w:rPr>
          <w:rFonts w:hint="eastAsia" w:ascii="宋体" w:hAnsi="宋体"/>
          <w:b/>
          <w:bCs/>
          <w:color w:val="0000FF"/>
        </w:rPr>
        <w:t>表一：供应商商务B审核评审项目/评分标准</w:t>
      </w:r>
    </w:p>
    <w:tbl>
      <w:tblPr>
        <w:tblStyle w:val="13"/>
        <w:tblW w:w="14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991"/>
        <w:gridCol w:w="1985"/>
        <w:gridCol w:w="991"/>
        <w:gridCol w:w="9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538" w:type="dxa"/>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序</w:t>
            </w:r>
          </w:p>
        </w:tc>
        <w:tc>
          <w:tcPr>
            <w:tcW w:w="991" w:type="dxa"/>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评审方向</w:t>
            </w:r>
          </w:p>
        </w:tc>
        <w:tc>
          <w:tcPr>
            <w:tcW w:w="1985" w:type="dxa"/>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评审内容</w:t>
            </w:r>
          </w:p>
        </w:tc>
        <w:tc>
          <w:tcPr>
            <w:tcW w:w="991" w:type="dxa"/>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分值占比</w:t>
            </w:r>
          </w:p>
        </w:tc>
        <w:tc>
          <w:tcPr>
            <w:tcW w:w="9555" w:type="dxa"/>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资料提供说明</w:t>
            </w:r>
            <w:r>
              <w:rPr>
                <w:rFonts w:hint="eastAsia" w:ascii="宋体" w:hAnsi="宋体" w:cs="宋体"/>
                <w:b/>
                <w:bCs/>
                <w:color w:val="FF0000"/>
                <w:kern w:val="0"/>
                <w:sz w:val="18"/>
                <w:szCs w:val="18"/>
              </w:rPr>
              <w:t>（面向供应商）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538" w:type="dxa"/>
            <w:vMerge w:val="restart"/>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1</w:t>
            </w:r>
          </w:p>
        </w:tc>
        <w:tc>
          <w:tcPr>
            <w:tcW w:w="991" w:type="dxa"/>
            <w:vMerge w:val="restart"/>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商务B</w:t>
            </w:r>
          </w:p>
        </w:tc>
        <w:tc>
          <w:tcPr>
            <w:tcW w:w="1985" w:type="dxa"/>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kern w:val="0"/>
                <w:sz w:val="18"/>
                <w:szCs w:val="18"/>
              </w:rPr>
              <w:t>相当规模订单业绩</w:t>
            </w:r>
          </w:p>
        </w:tc>
        <w:tc>
          <w:tcPr>
            <w:tcW w:w="991" w:type="dxa"/>
            <w:vMerge w:val="restart"/>
            <w:vAlign w:val="center"/>
          </w:tcPr>
          <w:p>
            <w:pPr>
              <w:widowControl/>
              <w:spacing w:line="240" w:lineRule="exact"/>
              <w:jc w:val="center"/>
              <w:rPr>
                <w:rFonts w:hint="eastAsia" w:ascii="宋体" w:hAnsi="宋体" w:cs="宋体"/>
                <w:b/>
                <w:bCs/>
                <w:color w:val="FF0000"/>
                <w:kern w:val="0"/>
                <w:sz w:val="18"/>
                <w:szCs w:val="18"/>
              </w:rPr>
            </w:pPr>
            <w:r>
              <w:rPr>
                <w:rFonts w:hint="eastAsia" w:ascii="宋体" w:hAnsi="宋体" w:cs="宋体"/>
                <w:b/>
                <w:bCs/>
                <w:color w:val="FF0000"/>
                <w:kern w:val="0"/>
                <w:sz w:val="18"/>
                <w:szCs w:val="18"/>
              </w:rPr>
              <w:t>10分</w:t>
            </w:r>
          </w:p>
        </w:tc>
        <w:tc>
          <w:tcPr>
            <w:tcW w:w="9555" w:type="dxa"/>
            <w:vAlign w:val="center"/>
          </w:tcPr>
          <w:p>
            <w:pPr>
              <w:widowControl/>
              <w:tabs>
                <w:tab w:val="left" w:pos="312"/>
              </w:tabs>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提供</w:t>
            </w:r>
            <w:r>
              <w:rPr>
                <w:rFonts w:hint="eastAsia" w:ascii="宋体" w:hAnsi="宋体" w:cs="宋体"/>
                <w:b/>
                <w:bCs/>
                <w:kern w:val="0"/>
                <w:sz w:val="18"/>
                <w:szCs w:val="18"/>
              </w:rPr>
              <w:t>近</w:t>
            </w:r>
            <w:r>
              <w:rPr>
                <w:rFonts w:ascii="宋体" w:hAnsi="宋体" w:cs="宋体"/>
                <w:b/>
                <w:bCs/>
                <w:color w:val="FF0000"/>
                <w:kern w:val="0"/>
                <w:sz w:val="18"/>
                <w:szCs w:val="18"/>
              </w:rPr>
              <w:t>2年</w:t>
            </w:r>
            <w:r>
              <w:rPr>
                <w:rFonts w:ascii="宋体" w:hAnsi="宋体" w:cs="宋体"/>
                <w:b/>
                <w:bCs/>
                <w:color w:val="0000FF"/>
                <w:kern w:val="0"/>
                <w:sz w:val="18"/>
                <w:szCs w:val="18"/>
              </w:rPr>
              <w:t>（2024-2025年度）</w:t>
            </w:r>
            <w:r>
              <w:rPr>
                <w:rFonts w:hint="eastAsia" w:ascii="宋体" w:hAnsi="宋体" w:cs="宋体"/>
                <w:b/>
                <w:bCs/>
                <w:color w:val="0000FF"/>
                <w:kern w:val="0"/>
                <w:sz w:val="20"/>
              </w:rPr>
              <w:t>与拟招标标的类似相关的</w:t>
            </w:r>
            <w:r>
              <w:rPr>
                <w:rFonts w:hint="eastAsia" w:ascii="宋体" w:hAnsi="宋体" w:cs="宋体"/>
                <w:b/>
                <w:bCs/>
                <w:color w:val="0000FF"/>
                <w:kern w:val="0"/>
                <w:sz w:val="20"/>
                <w:lang w:val="en-US" w:eastAsia="zh-CN"/>
              </w:rPr>
              <w:t>土建基础</w:t>
            </w:r>
            <w:bookmarkStart w:id="16" w:name="_GoBack"/>
            <w:bookmarkEnd w:id="16"/>
            <w:r>
              <w:rPr>
                <w:rFonts w:hint="eastAsia" w:ascii="宋体" w:hAnsi="宋体" w:cs="宋体"/>
                <w:b/>
                <w:bCs/>
                <w:color w:val="0000FF"/>
                <w:kern w:val="0"/>
                <w:sz w:val="20"/>
              </w:rPr>
              <w:t>工程项目的清单</w:t>
            </w:r>
            <w:r>
              <w:rPr>
                <w:rFonts w:hint="eastAsia" w:ascii="宋体" w:hAnsi="宋体" w:cs="宋体"/>
                <w:b/>
                <w:bCs/>
                <w:kern w:val="0"/>
                <w:sz w:val="18"/>
                <w:szCs w:val="18"/>
              </w:rPr>
              <w:t>-提供相应采购合同证明（必要时隐去敏感相关项）及能够证明该业绩项目已经由采购人验收合格的相关证明文件。按年度交易金额排序，提供不得少于</w:t>
            </w:r>
            <w:r>
              <w:rPr>
                <w:rFonts w:hint="eastAsia" w:ascii="宋体" w:hAnsi="宋体" w:cs="宋体"/>
                <w:b/>
                <w:bCs/>
                <w:color w:val="FF0000"/>
                <w:kern w:val="0"/>
                <w:sz w:val="18"/>
                <w:szCs w:val="18"/>
              </w:rPr>
              <w:t>2</w:t>
            </w:r>
            <w:r>
              <w:rPr>
                <w:rFonts w:hint="eastAsia" w:ascii="宋体" w:hAnsi="宋体" w:cs="宋体"/>
                <w:b/>
                <w:bCs/>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538" w:type="dxa"/>
            <w:vMerge w:val="continue"/>
            <w:vAlign w:val="center"/>
          </w:tcPr>
          <w:p>
            <w:pPr>
              <w:widowControl/>
              <w:spacing w:line="240" w:lineRule="exact"/>
              <w:jc w:val="center"/>
              <w:rPr>
                <w:rFonts w:hint="eastAsia" w:ascii="宋体" w:hAnsi="宋体" w:cs="宋体"/>
                <w:b/>
                <w:bCs/>
                <w:color w:val="000000"/>
                <w:kern w:val="0"/>
                <w:sz w:val="18"/>
                <w:szCs w:val="18"/>
              </w:rPr>
            </w:pPr>
          </w:p>
        </w:tc>
        <w:tc>
          <w:tcPr>
            <w:tcW w:w="991" w:type="dxa"/>
            <w:vMerge w:val="continue"/>
            <w:vAlign w:val="center"/>
          </w:tcPr>
          <w:p>
            <w:pPr>
              <w:widowControl/>
              <w:spacing w:line="240" w:lineRule="exact"/>
              <w:jc w:val="center"/>
              <w:rPr>
                <w:rFonts w:hint="eastAsia" w:ascii="宋体" w:hAnsi="宋体" w:cs="宋体"/>
                <w:b/>
                <w:bCs/>
                <w:color w:val="000000"/>
                <w:kern w:val="0"/>
                <w:sz w:val="18"/>
                <w:szCs w:val="18"/>
              </w:rPr>
            </w:pPr>
          </w:p>
        </w:tc>
        <w:tc>
          <w:tcPr>
            <w:tcW w:w="1985" w:type="dxa"/>
            <w:vAlign w:val="center"/>
          </w:tcPr>
          <w:p>
            <w:pPr>
              <w:spacing w:line="240" w:lineRule="exact"/>
              <w:jc w:val="center"/>
              <w:rPr>
                <w:rFonts w:hint="eastAsia" w:ascii="宋体" w:hAnsi="宋体" w:cs="宋体"/>
                <w:b/>
                <w:bCs/>
                <w:color w:val="000000"/>
                <w:kern w:val="0"/>
                <w:sz w:val="18"/>
                <w:szCs w:val="18"/>
              </w:rPr>
            </w:pPr>
            <w:r>
              <w:rPr>
                <w:rFonts w:hint="eastAsia" w:ascii="宋体" w:hAnsi="宋体" w:cs="宋体"/>
                <w:b/>
                <w:bCs/>
                <w:color w:val="000000" w:themeColor="text1"/>
                <w:kern w:val="0"/>
                <w:sz w:val="18"/>
                <w:szCs w:val="18"/>
                <w14:textFill>
                  <w14:solidFill>
                    <w14:schemeClr w14:val="tx1"/>
                  </w14:solidFill>
                </w14:textFill>
              </w:rPr>
              <w:t>项目工期</w:t>
            </w:r>
          </w:p>
        </w:tc>
        <w:tc>
          <w:tcPr>
            <w:tcW w:w="991" w:type="dxa"/>
            <w:vMerge w:val="continue"/>
            <w:vAlign w:val="center"/>
          </w:tcPr>
          <w:p>
            <w:pPr>
              <w:spacing w:line="240" w:lineRule="exact"/>
              <w:jc w:val="center"/>
              <w:rPr>
                <w:rFonts w:hint="eastAsia" w:ascii="宋体" w:hAnsi="宋体" w:cs="宋体"/>
                <w:b/>
                <w:bCs/>
                <w:color w:val="000000"/>
                <w:kern w:val="0"/>
                <w:sz w:val="18"/>
                <w:szCs w:val="18"/>
              </w:rPr>
            </w:pPr>
          </w:p>
        </w:tc>
        <w:tc>
          <w:tcPr>
            <w:tcW w:w="9555" w:type="dxa"/>
            <w:vAlign w:val="center"/>
          </w:tcPr>
          <w:p>
            <w:pPr>
              <w:widowControl/>
              <w:spacing w:line="240" w:lineRule="exact"/>
              <w:jc w:val="left"/>
              <w:rPr>
                <w:rFonts w:hint="eastAsia" w:ascii="宋体" w:hAnsi="宋体" w:cs="宋体"/>
                <w:b/>
                <w:bCs/>
                <w:kern w:val="0"/>
                <w:sz w:val="18"/>
                <w:szCs w:val="18"/>
              </w:rPr>
            </w:pPr>
            <w:r>
              <w:rPr>
                <w:rFonts w:hint="eastAsia" w:ascii="宋体" w:hAnsi="宋体" w:cs="宋体"/>
                <w:b/>
                <w:bCs/>
                <w:kern w:val="0"/>
                <w:sz w:val="18"/>
                <w:szCs w:val="18"/>
              </w:rPr>
              <w:t>投标人根据实际情况考虑施工组织，约定工期时间的承诺函。</w:t>
            </w:r>
            <w:r>
              <w:rPr>
                <w:rFonts w:hint="eastAsia" w:ascii="宋体" w:hAnsi="宋体" w:cs="宋体"/>
                <w:b/>
                <w:bCs/>
                <w:color w:val="0000FF"/>
                <w:kern w:val="0"/>
                <w:sz w:val="18"/>
                <w:szCs w:val="18"/>
              </w:rPr>
              <w:t>（详见附件五-条款二、质量、售后、交期保证承诺内容）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538" w:type="dxa"/>
            <w:vMerge w:val="continue"/>
            <w:vAlign w:val="center"/>
          </w:tcPr>
          <w:p>
            <w:pPr>
              <w:widowControl/>
              <w:spacing w:line="240" w:lineRule="exact"/>
              <w:jc w:val="center"/>
              <w:rPr>
                <w:rFonts w:hint="eastAsia" w:ascii="宋体" w:hAnsi="宋体" w:cs="宋体"/>
                <w:b/>
                <w:bCs/>
                <w:color w:val="000000"/>
                <w:kern w:val="0"/>
                <w:sz w:val="18"/>
                <w:szCs w:val="18"/>
              </w:rPr>
            </w:pPr>
          </w:p>
        </w:tc>
        <w:tc>
          <w:tcPr>
            <w:tcW w:w="991" w:type="dxa"/>
            <w:vMerge w:val="continue"/>
            <w:vAlign w:val="center"/>
          </w:tcPr>
          <w:p>
            <w:pPr>
              <w:widowControl/>
              <w:spacing w:line="240" w:lineRule="exact"/>
              <w:jc w:val="center"/>
              <w:rPr>
                <w:rFonts w:hint="eastAsia" w:ascii="宋体" w:hAnsi="宋体" w:cs="宋体"/>
                <w:b/>
                <w:bCs/>
                <w:color w:val="000000"/>
                <w:kern w:val="0"/>
                <w:sz w:val="18"/>
                <w:szCs w:val="18"/>
              </w:rPr>
            </w:pPr>
          </w:p>
        </w:tc>
        <w:tc>
          <w:tcPr>
            <w:tcW w:w="1985" w:type="dxa"/>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kern w:val="0"/>
                <w:sz w:val="18"/>
                <w:szCs w:val="18"/>
              </w:rPr>
              <w:t>质保时间承诺</w:t>
            </w:r>
          </w:p>
        </w:tc>
        <w:tc>
          <w:tcPr>
            <w:tcW w:w="991" w:type="dxa"/>
            <w:vMerge w:val="continue"/>
            <w:vAlign w:val="center"/>
          </w:tcPr>
          <w:p>
            <w:pPr>
              <w:widowControl/>
              <w:spacing w:line="240" w:lineRule="exact"/>
              <w:jc w:val="center"/>
              <w:rPr>
                <w:rFonts w:hint="eastAsia" w:ascii="宋体" w:hAnsi="宋体" w:cs="宋体"/>
                <w:b/>
                <w:bCs/>
                <w:color w:val="000000"/>
                <w:kern w:val="0"/>
                <w:sz w:val="18"/>
                <w:szCs w:val="18"/>
              </w:rPr>
            </w:pPr>
          </w:p>
        </w:tc>
        <w:tc>
          <w:tcPr>
            <w:tcW w:w="9555" w:type="dxa"/>
            <w:vAlign w:val="center"/>
          </w:tcPr>
          <w:p>
            <w:pPr>
              <w:widowControl/>
              <w:spacing w:line="240" w:lineRule="exact"/>
              <w:jc w:val="left"/>
              <w:rPr>
                <w:rFonts w:hint="eastAsia" w:ascii="宋体" w:hAnsi="宋体" w:cs="宋体"/>
                <w:b/>
                <w:bCs/>
                <w:kern w:val="0"/>
                <w:sz w:val="18"/>
                <w:szCs w:val="18"/>
              </w:rPr>
            </w:pPr>
            <w:r>
              <w:rPr>
                <w:rFonts w:hint="eastAsia" w:ascii="宋体" w:hAnsi="宋体" w:cs="宋体"/>
                <w:b/>
                <w:bCs/>
                <w:kern w:val="0"/>
                <w:sz w:val="18"/>
                <w:szCs w:val="18"/>
              </w:rPr>
              <w:t>自验收之日起, 约定质保时间的承诺函。</w:t>
            </w:r>
            <w:r>
              <w:rPr>
                <w:rFonts w:hint="eastAsia" w:ascii="宋体" w:hAnsi="宋体" w:cs="宋体"/>
                <w:b/>
                <w:bCs/>
                <w:color w:val="0000FF"/>
                <w:kern w:val="0"/>
                <w:sz w:val="18"/>
                <w:szCs w:val="18"/>
              </w:rPr>
              <w:t>（详见附件五-条款二、质量、售后、交期保证承诺内容）</w:t>
            </w:r>
          </w:p>
        </w:tc>
      </w:tr>
    </w:tbl>
    <w:p>
      <w:pPr>
        <w:spacing w:line="360" w:lineRule="auto"/>
        <w:rPr>
          <w:rFonts w:hint="eastAsia" w:ascii="宋体" w:hAnsi="宋体"/>
          <w:b/>
          <w:bCs/>
          <w:color w:val="0000FF"/>
          <w:sz w:val="24"/>
          <w:szCs w:val="24"/>
        </w:rPr>
      </w:pPr>
    </w:p>
    <w:p>
      <w:pPr>
        <w:spacing w:line="360" w:lineRule="auto"/>
        <w:outlineLvl w:val="2"/>
        <w:rPr>
          <w:rFonts w:hint="eastAsia" w:ascii="宋体" w:hAnsi="宋体"/>
          <w:b/>
          <w:bCs/>
          <w:color w:val="0000FF"/>
          <w:sz w:val="24"/>
          <w:szCs w:val="24"/>
        </w:rPr>
      </w:pPr>
      <w:r>
        <w:rPr>
          <w:rFonts w:hint="eastAsia" w:ascii="宋体" w:hAnsi="宋体"/>
          <w:b/>
          <w:bCs/>
          <w:color w:val="0000FF"/>
          <w:sz w:val="24"/>
          <w:szCs w:val="24"/>
        </w:rPr>
        <w:t>表二：供应商技术T审核评审项目/评分标准</w:t>
      </w:r>
    </w:p>
    <w:tbl>
      <w:tblPr>
        <w:tblStyle w:val="13"/>
        <w:tblW w:w="14052" w:type="dxa"/>
        <w:tblInd w:w="0" w:type="dxa"/>
        <w:tblLayout w:type="fixed"/>
        <w:tblCellMar>
          <w:top w:w="0" w:type="dxa"/>
          <w:left w:w="108" w:type="dxa"/>
          <w:bottom w:w="0" w:type="dxa"/>
          <w:right w:w="108" w:type="dxa"/>
        </w:tblCellMar>
      </w:tblPr>
      <w:tblGrid>
        <w:gridCol w:w="516"/>
        <w:gridCol w:w="1059"/>
        <w:gridCol w:w="1964"/>
        <w:gridCol w:w="992"/>
        <w:gridCol w:w="9521"/>
      </w:tblGrid>
      <w:tr>
        <w:tblPrEx>
          <w:tblLayout w:type="fixed"/>
          <w:tblCellMar>
            <w:top w:w="0" w:type="dxa"/>
            <w:left w:w="108" w:type="dxa"/>
            <w:bottom w:w="0" w:type="dxa"/>
            <w:right w:w="108" w:type="dxa"/>
          </w:tblCellMar>
        </w:tblPrEx>
        <w:trPr>
          <w:trHeight w:val="537" w:hRule="atLeast"/>
        </w:trPr>
        <w:tc>
          <w:tcPr>
            <w:tcW w:w="51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8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序</w:t>
            </w:r>
          </w:p>
        </w:tc>
        <w:tc>
          <w:tcPr>
            <w:tcW w:w="1059"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8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评审方向</w:t>
            </w:r>
          </w:p>
        </w:tc>
        <w:tc>
          <w:tcPr>
            <w:tcW w:w="1964" w:type="dxa"/>
            <w:tcBorders>
              <w:top w:val="single" w:color="auto" w:sz="4" w:space="0"/>
              <w:left w:val="nil"/>
              <w:bottom w:val="single" w:color="auto" w:sz="4" w:space="0"/>
              <w:right w:val="single" w:color="auto" w:sz="4" w:space="0"/>
            </w:tcBorders>
            <w:shd w:val="clear" w:color="auto" w:fill="D9D9D9"/>
            <w:vAlign w:val="center"/>
          </w:tcPr>
          <w:p>
            <w:pPr>
              <w:widowControl/>
              <w:spacing w:line="28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评审内容</w:t>
            </w:r>
          </w:p>
        </w:tc>
        <w:tc>
          <w:tcPr>
            <w:tcW w:w="992" w:type="dxa"/>
            <w:tcBorders>
              <w:top w:val="single" w:color="auto" w:sz="4" w:space="0"/>
              <w:left w:val="nil"/>
              <w:bottom w:val="single" w:color="auto" w:sz="4" w:space="0"/>
              <w:right w:val="single" w:color="auto" w:sz="4" w:space="0"/>
            </w:tcBorders>
            <w:shd w:val="clear" w:color="auto" w:fill="D9D9D9"/>
            <w:vAlign w:val="center"/>
          </w:tcPr>
          <w:p>
            <w:pPr>
              <w:widowControl/>
              <w:spacing w:line="28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分值占比</w:t>
            </w:r>
          </w:p>
        </w:tc>
        <w:tc>
          <w:tcPr>
            <w:tcW w:w="9521" w:type="dxa"/>
            <w:tcBorders>
              <w:top w:val="single" w:color="auto" w:sz="4" w:space="0"/>
              <w:left w:val="nil"/>
              <w:bottom w:val="single" w:color="auto" w:sz="4" w:space="0"/>
              <w:right w:val="single" w:color="auto" w:sz="4" w:space="0"/>
            </w:tcBorders>
            <w:shd w:val="clear" w:color="auto" w:fill="D9D9D9"/>
            <w:vAlign w:val="center"/>
          </w:tcPr>
          <w:p>
            <w:pPr>
              <w:widowControl/>
              <w:spacing w:line="28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资料提供说明</w:t>
            </w:r>
            <w:r>
              <w:rPr>
                <w:rFonts w:hint="eastAsia" w:ascii="宋体" w:hAnsi="宋体" w:cs="宋体"/>
                <w:b/>
                <w:bCs/>
                <w:color w:val="FF0000"/>
                <w:kern w:val="0"/>
                <w:sz w:val="18"/>
                <w:szCs w:val="18"/>
              </w:rPr>
              <w:t>（面向供应商）</w:t>
            </w:r>
          </w:p>
        </w:tc>
      </w:tr>
      <w:tr>
        <w:tblPrEx>
          <w:tblLayout w:type="fixed"/>
          <w:tblCellMar>
            <w:top w:w="0" w:type="dxa"/>
            <w:left w:w="108" w:type="dxa"/>
            <w:bottom w:w="0" w:type="dxa"/>
            <w:right w:w="108" w:type="dxa"/>
          </w:tblCellMar>
        </w:tblPrEx>
        <w:trPr>
          <w:trHeight w:val="844" w:hRule="atLeast"/>
        </w:trPr>
        <w:tc>
          <w:tcPr>
            <w:tcW w:w="5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cs="宋体"/>
                <w:b/>
                <w:bCs/>
                <w:color w:val="000000"/>
                <w:kern w:val="0"/>
                <w:sz w:val="18"/>
                <w:szCs w:val="18"/>
              </w:rPr>
            </w:pPr>
            <w:r>
              <w:rPr>
                <w:rFonts w:ascii="宋体" w:hAnsi="宋体" w:cs="宋体"/>
                <w:b/>
                <w:bCs/>
                <w:color w:val="000000"/>
                <w:kern w:val="0"/>
                <w:sz w:val="18"/>
                <w:szCs w:val="18"/>
              </w:rPr>
              <w:t>2</w:t>
            </w:r>
          </w:p>
        </w:tc>
        <w:tc>
          <w:tcPr>
            <w:tcW w:w="10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技术T</w:t>
            </w:r>
          </w:p>
        </w:tc>
        <w:tc>
          <w:tcPr>
            <w:tcW w:w="196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宋体" w:hAnsi="宋体" w:cs="宋体"/>
                <w:b/>
                <w:bCs/>
                <w:color w:val="0000FF"/>
                <w:kern w:val="0"/>
                <w:sz w:val="18"/>
                <w:szCs w:val="18"/>
              </w:rPr>
            </w:pPr>
            <w:r>
              <w:rPr>
                <w:rFonts w:hint="eastAsia" w:ascii="宋体" w:hAnsi="宋体" w:cs="宋体"/>
                <w:b/>
                <w:bCs/>
                <w:color w:val="000000"/>
                <w:kern w:val="0"/>
                <w:sz w:val="18"/>
                <w:szCs w:val="18"/>
              </w:rPr>
              <w:t>施工方案</w:t>
            </w:r>
          </w:p>
        </w:tc>
        <w:tc>
          <w:tcPr>
            <w:tcW w:w="992" w:type="dxa"/>
            <w:vMerge w:val="restart"/>
            <w:tcBorders>
              <w:top w:val="single" w:color="auto" w:sz="4" w:space="0"/>
              <w:left w:val="nil"/>
              <w:right w:val="single" w:color="auto" w:sz="4" w:space="0"/>
            </w:tcBorders>
            <w:vAlign w:val="center"/>
          </w:tcPr>
          <w:p>
            <w:pPr>
              <w:widowControl/>
              <w:spacing w:line="280" w:lineRule="exact"/>
              <w:jc w:val="center"/>
              <w:rPr>
                <w:rFonts w:hint="eastAsia" w:ascii="宋体" w:hAnsi="宋体" w:cs="宋体"/>
                <w:b/>
                <w:bCs/>
                <w:color w:val="FF0000"/>
                <w:kern w:val="0"/>
                <w:sz w:val="18"/>
                <w:szCs w:val="18"/>
              </w:rPr>
            </w:pPr>
            <w:r>
              <w:rPr>
                <w:rFonts w:hint="eastAsia" w:ascii="宋体" w:hAnsi="宋体" w:cs="宋体"/>
                <w:b/>
                <w:bCs/>
                <w:color w:val="FF0000"/>
                <w:kern w:val="0"/>
                <w:sz w:val="18"/>
                <w:szCs w:val="18"/>
              </w:rPr>
              <w:t>30分</w:t>
            </w:r>
          </w:p>
        </w:tc>
        <w:tc>
          <w:tcPr>
            <w:tcW w:w="9521" w:type="dxa"/>
            <w:tcBorders>
              <w:top w:val="single" w:color="auto" w:sz="4" w:space="0"/>
              <w:left w:val="nil"/>
              <w:bottom w:val="single" w:color="auto" w:sz="4" w:space="0"/>
              <w:right w:val="single" w:color="auto" w:sz="4" w:space="0"/>
            </w:tcBorders>
            <w:vAlign w:val="center"/>
          </w:tcPr>
          <w:p>
            <w:pPr>
              <w:pStyle w:val="14"/>
              <w:widowControl/>
              <w:spacing w:line="280" w:lineRule="exact"/>
              <w:ind w:firstLine="0" w:firstLineChars="0"/>
              <w:jc w:val="left"/>
              <w:rPr>
                <w:rFonts w:hint="eastAsia" w:ascii="宋体" w:hAnsi="宋体" w:cs="宋体"/>
                <w:b/>
                <w:bCs/>
                <w:color w:val="0000FF"/>
                <w:kern w:val="0"/>
                <w:sz w:val="18"/>
                <w:szCs w:val="18"/>
              </w:rPr>
            </w:pPr>
            <w:r>
              <w:rPr>
                <w:rFonts w:hint="eastAsia" w:ascii="宋体" w:hAnsi="宋体" w:cs="宋体"/>
                <w:b/>
                <w:bCs/>
                <w:color w:val="000000"/>
                <w:kern w:val="0"/>
                <w:sz w:val="18"/>
                <w:szCs w:val="18"/>
              </w:rPr>
              <w:t>提供</w:t>
            </w:r>
            <w:bookmarkStart w:id="11" w:name="OLE_LINK19"/>
            <w:r>
              <w:rPr>
                <w:rFonts w:hint="eastAsia" w:ascii="宋体" w:hAnsi="宋体" w:cs="宋体"/>
                <w:b/>
                <w:bCs/>
                <w:color w:val="000000"/>
                <w:kern w:val="0"/>
                <w:sz w:val="18"/>
                <w:szCs w:val="18"/>
              </w:rPr>
              <w:t>招标标的项目的</w:t>
            </w:r>
            <w:bookmarkEnd w:id="11"/>
            <w:r>
              <w:rPr>
                <w:rFonts w:hint="eastAsia" w:ascii="宋体" w:hAnsi="宋体" w:cs="宋体"/>
                <w:b/>
                <w:bCs/>
                <w:color w:val="000000"/>
                <w:kern w:val="0"/>
                <w:sz w:val="18"/>
                <w:szCs w:val="18"/>
              </w:rPr>
              <w:t>具体施工方案，应包含但不限于：根据项目各分部分项工程主要施工工艺；施工技术措施；施工重点、难点及对应措施。</w:t>
            </w:r>
          </w:p>
        </w:tc>
      </w:tr>
      <w:tr>
        <w:tblPrEx>
          <w:tblLayout w:type="fixed"/>
          <w:tblCellMar>
            <w:top w:w="0" w:type="dxa"/>
            <w:left w:w="108" w:type="dxa"/>
            <w:bottom w:w="0" w:type="dxa"/>
            <w:right w:w="108" w:type="dxa"/>
          </w:tblCellMar>
        </w:tblPrEx>
        <w:trPr>
          <w:trHeight w:val="838" w:hRule="atLeast"/>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eastAsia" w:ascii="宋体" w:hAnsi="宋体" w:cs="宋体"/>
                <w:b/>
                <w:bCs/>
                <w:color w:val="000000"/>
                <w:kern w:val="0"/>
                <w:sz w:val="18"/>
                <w:szCs w:val="18"/>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eastAsia" w:ascii="宋体" w:hAnsi="宋体" w:cs="宋体"/>
                <w:b/>
                <w:bCs/>
                <w:color w:val="000000"/>
                <w:kern w:val="0"/>
                <w:sz w:val="18"/>
                <w:szCs w:val="18"/>
              </w:rPr>
            </w:pPr>
          </w:p>
        </w:tc>
        <w:tc>
          <w:tcPr>
            <w:tcW w:w="1964" w:type="dxa"/>
            <w:tcBorders>
              <w:top w:val="nil"/>
              <w:left w:val="nil"/>
              <w:bottom w:val="single" w:color="auto" w:sz="4" w:space="0"/>
              <w:right w:val="single" w:color="auto" w:sz="4" w:space="0"/>
            </w:tcBorders>
            <w:vAlign w:val="center"/>
          </w:tcPr>
          <w:p>
            <w:pPr>
              <w:widowControl/>
              <w:spacing w:line="280" w:lineRule="exact"/>
              <w:jc w:val="center"/>
              <w:rPr>
                <w:rFonts w:hint="eastAsia" w:ascii="宋体" w:hAnsi="宋体" w:cs="宋体"/>
                <w:b/>
                <w:bCs/>
                <w:color w:val="0000FF"/>
                <w:kern w:val="0"/>
                <w:sz w:val="18"/>
                <w:szCs w:val="18"/>
              </w:rPr>
            </w:pPr>
            <w:r>
              <w:rPr>
                <w:rFonts w:hint="eastAsia" w:ascii="宋体" w:hAnsi="宋体" w:cs="宋体"/>
                <w:b/>
                <w:bCs/>
                <w:color w:val="000000"/>
                <w:kern w:val="0"/>
                <w:sz w:val="18"/>
                <w:szCs w:val="18"/>
              </w:rPr>
              <w:t>安全施工措施</w:t>
            </w:r>
          </w:p>
        </w:tc>
        <w:tc>
          <w:tcPr>
            <w:tcW w:w="992" w:type="dxa"/>
            <w:vMerge w:val="continue"/>
            <w:tcBorders>
              <w:left w:val="nil"/>
              <w:right w:val="single" w:color="auto" w:sz="4" w:space="0"/>
            </w:tcBorders>
            <w:vAlign w:val="center"/>
          </w:tcPr>
          <w:p>
            <w:pPr>
              <w:widowControl/>
              <w:spacing w:line="280" w:lineRule="exact"/>
              <w:jc w:val="center"/>
              <w:rPr>
                <w:rFonts w:hint="eastAsia" w:ascii="宋体" w:hAnsi="宋体" w:cs="宋体"/>
                <w:b/>
                <w:bCs/>
                <w:color w:val="000000"/>
                <w:kern w:val="0"/>
                <w:sz w:val="18"/>
                <w:szCs w:val="18"/>
              </w:rPr>
            </w:pPr>
          </w:p>
        </w:tc>
        <w:tc>
          <w:tcPr>
            <w:tcW w:w="9521" w:type="dxa"/>
            <w:tcBorders>
              <w:top w:val="nil"/>
              <w:left w:val="nil"/>
              <w:bottom w:val="single" w:color="auto" w:sz="4" w:space="0"/>
              <w:right w:val="single" w:color="auto" w:sz="4" w:space="0"/>
            </w:tcBorders>
            <w:vAlign w:val="center"/>
          </w:tcPr>
          <w:p>
            <w:pPr>
              <w:pStyle w:val="14"/>
              <w:widowControl/>
              <w:spacing w:line="280" w:lineRule="exact"/>
              <w:ind w:firstLine="0" w:firstLineChars="0"/>
              <w:jc w:val="left"/>
              <w:rPr>
                <w:rFonts w:hint="eastAsia" w:ascii="宋体" w:hAnsi="宋体" w:cs="宋体"/>
                <w:b/>
                <w:bCs/>
                <w:color w:val="FF0000"/>
                <w:kern w:val="0"/>
                <w:sz w:val="18"/>
                <w:szCs w:val="18"/>
              </w:rPr>
            </w:pPr>
            <w:r>
              <w:rPr>
                <w:rFonts w:hint="eastAsia" w:ascii="宋体" w:hAnsi="宋体" w:cs="宋体"/>
                <w:b/>
                <w:bCs/>
                <w:color w:val="000000"/>
                <w:kern w:val="0"/>
                <w:sz w:val="18"/>
                <w:szCs w:val="18"/>
              </w:rPr>
              <w:t>提供招标标的项目的具体安全施工措施，应包含但不限于：安全管理方针；安全保证体系；安全管理制度；安全事故预防措施；拟投入的安全设施设备。</w:t>
            </w:r>
          </w:p>
        </w:tc>
      </w:tr>
      <w:tr>
        <w:tblPrEx>
          <w:tblLayout w:type="fixed"/>
          <w:tblCellMar>
            <w:top w:w="0" w:type="dxa"/>
            <w:left w:w="108" w:type="dxa"/>
            <w:bottom w:w="0" w:type="dxa"/>
            <w:right w:w="108" w:type="dxa"/>
          </w:tblCellMar>
        </w:tblPrEx>
        <w:trPr>
          <w:trHeight w:val="832" w:hRule="atLeast"/>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eastAsia" w:ascii="宋体" w:hAnsi="宋体" w:cs="宋体"/>
                <w:b/>
                <w:bCs/>
                <w:color w:val="000000"/>
                <w:kern w:val="0"/>
                <w:sz w:val="18"/>
                <w:szCs w:val="18"/>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eastAsia" w:ascii="宋体" w:hAnsi="宋体" w:cs="宋体"/>
                <w:b/>
                <w:bCs/>
                <w:color w:val="000000"/>
                <w:kern w:val="0"/>
                <w:sz w:val="18"/>
                <w:szCs w:val="18"/>
              </w:rPr>
            </w:pPr>
          </w:p>
        </w:tc>
        <w:tc>
          <w:tcPr>
            <w:tcW w:w="1964" w:type="dxa"/>
            <w:tcBorders>
              <w:top w:val="nil"/>
              <w:left w:val="nil"/>
              <w:bottom w:val="single" w:color="auto" w:sz="4" w:space="0"/>
              <w:right w:val="single" w:color="auto" w:sz="4" w:space="0"/>
            </w:tcBorders>
            <w:vAlign w:val="center"/>
          </w:tcPr>
          <w:p>
            <w:pPr>
              <w:widowControl/>
              <w:spacing w:line="280" w:lineRule="exact"/>
              <w:jc w:val="center"/>
              <w:rPr>
                <w:rFonts w:hint="eastAsia" w:ascii="宋体" w:hAnsi="宋体" w:cs="宋体"/>
                <w:b/>
                <w:bCs/>
                <w:color w:val="0000FF"/>
                <w:kern w:val="0"/>
                <w:sz w:val="18"/>
                <w:szCs w:val="18"/>
              </w:rPr>
            </w:pPr>
            <w:r>
              <w:rPr>
                <w:rFonts w:hint="eastAsia" w:ascii="宋体" w:hAnsi="宋体" w:cs="宋体"/>
                <w:b/>
                <w:bCs/>
                <w:color w:val="000000"/>
                <w:kern w:val="0"/>
                <w:sz w:val="18"/>
                <w:szCs w:val="18"/>
              </w:rPr>
              <w:t xml:space="preserve">施工进度计划 </w:t>
            </w:r>
          </w:p>
        </w:tc>
        <w:tc>
          <w:tcPr>
            <w:tcW w:w="992" w:type="dxa"/>
            <w:vMerge w:val="continue"/>
            <w:tcBorders>
              <w:left w:val="nil"/>
              <w:bottom w:val="single" w:color="auto" w:sz="4" w:space="0"/>
              <w:right w:val="single" w:color="auto" w:sz="4" w:space="0"/>
            </w:tcBorders>
            <w:vAlign w:val="center"/>
          </w:tcPr>
          <w:p>
            <w:pPr>
              <w:widowControl/>
              <w:spacing w:line="280" w:lineRule="exact"/>
              <w:jc w:val="center"/>
              <w:rPr>
                <w:rFonts w:hint="eastAsia" w:ascii="宋体" w:hAnsi="宋体" w:cs="宋体"/>
                <w:b/>
                <w:bCs/>
                <w:color w:val="000000"/>
                <w:kern w:val="0"/>
                <w:sz w:val="18"/>
                <w:szCs w:val="18"/>
              </w:rPr>
            </w:pPr>
          </w:p>
        </w:tc>
        <w:tc>
          <w:tcPr>
            <w:tcW w:w="9521" w:type="dxa"/>
            <w:tcBorders>
              <w:top w:val="nil"/>
              <w:left w:val="nil"/>
              <w:bottom w:val="single" w:color="auto" w:sz="4" w:space="0"/>
              <w:right w:val="single" w:color="auto" w:sz="4" w:space="0"/>
            </w:tcBorders>
            <w:vAlign w:val="center"/>
          </w:tcPr>
          <w:p>
            <w:pPr>
              <w:pStyle w:val="14"/>
              <w:widowControl/>
              <w:spacing w:line="280" w:lineRule="exact"/>
              <w:ind w:firstLine="0" w:firstLineChars="0"/>
              <w:jc w:val="left"/>
              <w:rPr>
                <w:rFonts w:hint="eastAsia" w:ascii="宋体" w:hAnsi="宋体" w:cs="宋体"/>
                <w:b/>
                <w:bCs/>
                <w:color w:val="0000FF"/>
                <w:kern w:val="0"/>
                <w:sz w:val="18"/>
                <w:szCs w:val="18"/>
              </w:rPr>
            </w:pPr>
            <w:r>
              <w:rPr>
                <w:rFonts w:hint="eastAsia" w:ascii="宋体" w:hAnsi="宋体" w:cs="宋体"/>
                <w:b/>
                <w:bCs/>
                <w:color w:val="000000"/>
                <w:kern w:val="0"/>
                <w:sz w:val="18"/>
                <w:szCs w:val="18"/>
              </w:rPr>
              <w:t>提供招标标的项目的具体施工进度计划，应包含但不限于：施工进度表或工期网络计划；根据项目工程特点罗列出各分部工期计划及计划中每段工期的施工内容、防护措施；关键线路、关键节点的控制措施。</w:t>
            </w:r>
          </w:p>
        </w:tc>
      </w:tr>
    </w:tbl>
    <w:p>
      <w:pPr>
        <w:spacing w:line="360" w:lineRule="auto"/>
        <w:outlineLvl w:val="2"/>
        <w:rPr>
          <w:rFonts w:hint="eastAsia" w:ascii="宋体" w:hAnsi="宋体"/>
          <w:b/>
          <w:bCs/>
          <w:color w:val="FF0000"/>
          <w:sz w:val="24"/>
          <w:szCs w:val="24"/>
        </w:rPr>
      </w:pPr>
    </w:p>
    <w:p>
      <w:pPr>
        <w:widowControl/>
        <w:spacing w:line="360" w:lineRule="auto"/>
        <w:jc w:val="left"/>
        <w:outlineLvl w:val="2"/>
        <w:rPr>
          <w:rFonts w:hint="eastAsia" w:ascii="宋体" w:hAnsi="宋体"/>
          <w:b/>
          <w:bCs/>
          <w:color w:val="0000FF"/>
          <w:sz w:val="24"/>
          <w:szCs w:val="24"/>
        </w:rPr>
        <w:sectPr>
          <w:pgSz w:w="16838" w:h="11906" w:orient="landscape"/>
          <w:pgMar w:top="1134" w:right="1134" w:bottom="851" w:left="1134" w:header="851" w:footer="992" w:gutter="0"/>
          <w:cols w:space="425" w:num="1"/>
          <w:docGrid w:type="lines" w:linePitch="312" w:charSpace="0"/>
        </w:sectPr>
      </w:pPr>
      <w:bookmarkStart w:id="12" w:name="_Toc217295098"/>
    </w:p>
    <w:bookmarkEnd w:id="12"/>
    <w:p>
      <w:pPr>
        <w:widowControl/>
        <w:spacing w:line="360" w:lineRule="auto"/>
        <w:jc w:val="left"/>
        <w:outlineLvl w:val="2"/>
        <w:rPr>
          <w:rFonts w:hint="eastAsia" w:ascii="宋体" w:hAnsi="宋体"/>
          <w:b/>
          <w:bCs/>
          <w:color w:val="0000FF"/>
          <w:sz w:val="24"/>
          <w:szCs w:val="24"/>
        </w:rPr>
      </w:pPr>
      <w:bookmarkStart w:id="13" w:name="OLE_LINK11"/>
      <w:r>
        <w:rPr>
          <w:rFonts w:hint="eastAsia" w:ascii="宋体" w:hAnsi="宋体"/>
          <w:b/>
          <w:bCs/>
          <w:color w:val="0000FF"/>
          <w:sz w:val="24"/>
          <w:szCs w:val="24"/>
        </w:rPr>
        <w:t>表三：供应商价格C审核评审项目/评分标准</w:t>
      </w:r>
      <w:bookmarkEnd w:id="13"/>
    </w:p>
    <w:tbl>
      <w:tblPr>
        <w:tblStyle w:val="13"/>
        <w:tblW w:w="13862" w:type="dxa"/>
        <w:tblInd w:w="113" w:type="dxa"/>
        <w:tblLayout w:type="fixed"/>
        <w:tblCellMar>
          <w:top w:w="0" w:type="dxa"/>
          <w:left w:w="108" w:type="dxa"/>
          <w:bottom w:w="0" w:type="dxa"/>
          <w:right w:w="108" w:type="dxa"/>
        </w:tblCellMar>
      </w:tblPr>
      <w:tblGrid>
        <w:gridCol w:w="549"/>
        <w:gridCol w:w="1006"/>
        <w:gridCol w:w="1984"/>
        <w:gridCol w:w="1021"/>
        <w:gridCol w:w="5216"/>
        <w:gridCol w:w="4086"/>
      </w:tblGrid>
      <w:tr>
        <w:tblPrEx>
          <w:tblLayout w:type="fixed"/>
          <w:tblCellMar>
            <w:top w:w="0" w:type="dxa"/>
            <w:left w:w="108" w:type="dxa"/>
            <w:bottom w:w="0" w:type="dxa"/>
            <w:right w:w="108" w:type="dxa"/>
          </w:tblCellMar>
        </w:tblPrEx>
        <w:trPr>
          <w:trHeight w:val="636" w:hRule="atLeast"/>
        </w:trPr>
        <w:tc>
          <w:tcPr>
            <w:tcW w:w="549"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40" w:lineRule="exact"/>
              <w:jc w:val="center"/>
              <w:rPr>
                <w:rFonts w:hint="eastAsia" w:ascii="宋体" w:hAnsi="宋体" w:cs="宋体"/>
                <w:b/>
                <w:bCs/>
                <w:color w:val="000000"/>
                <w:kern w:val="0"/>
                <w:sz w:val="18"/>
                <w:szCs w:val="18"/>
              </w:rPr>
            </w:pPr>
            <w:bookmarkStart w:id="14" w:name="OLE_LINK26"/>
            <w:r>
              <w:rPr>
                <w:rFonts w:hint="eastAsia" w:ascii="宋体" w:hAnsi="宋体" w:cs="宋体"/>
                <w:b/>
                <w:bCs/>
                <w:color w:val="000000"/>
                <w:kern w:val="0"/>
                <w:sz w:val="18"/>
                <w:szCs w:val="18"/>
              </w:rPr>
              <w:t>序</w:t>
            </w:r>
          </w:p>
        </w:tc>
        <w:tc>
          <w:tcPr>
            <w:tcW w:w="100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评审方向</w:t>
            </w:r>
          </w:p>
        </w:tc>
        <w:tc>
          <w:tcPr>
            <w:tcW w:w="1984"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评审内容</w:t>
            </w:r>
          </w:p>
        </w:tc>
        <w:tc>
          <w:tcPr>
            <w:tcW w:w="1021"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分值占比</w:t>
            </w:r>
          </w:p>
        </w:tc>
        <w:tc>
          <w:tcPr>
            <w:tcW w:w="5216" w:type="dxa"/>
            <w:tcBorders>
              <w:top w:val="single" w:color="auto" w:sz="4" w:space="0"/>
              <w:left w:val="nil"/>
              <w:bottom w:val="single" w:color="auto" w:sz="4" w:space="0"/>
              <w:right w:val="single" w:color="auto" w:sz="4" w:space="0"/>
            </w:tcBorders>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评审标准</w:t>
            </w:r>
          </w:p>
        </w:tc>
        <w:tc>
          <w:tcPr>
            <w:tcW w:w="408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说明</w:t>
            </w:r>
            <w:r>
              <w:rPr>
                <w:rFonts w:hint="eastAsia" w:ascii="宋体" w:hAnsi="宋体" w:cs="宋体"/>
                <w:b/>
                <w:bCs/>
                <w:color w:val="FF0000"/>
                <w:kern w:val="0"/>
                <w:sz w:val="18"/>
                <w:szCs w:val="18"/>
              </w:rPr>
              <w:t>（面向供应商）</w:t>
            </w:r>
          </w:p>
        </w:tc>
      </w:tr>
      <w:tr>
        <w:tblPrEx>
          <w:tblLayout w:type="fixed"/>
          <w:tblCellMar>
            <w:top w:w="0" w:type="dxa"/>
            <w:left w:w="108" w:type="dxa"/>
            <w:bottom w:w="0" w:type="dxa"/>
            <w:right w:w="108" w:type="dxa"/>
          </w:tblCellMar>
        </w:tblPrEx>
        <w:trPr>
          <w:trHeight w:val="2260" w:hRule="atLeast"/>
        </w:trPr>
        <w:tc>
          <w:tcPr>
            <w:tcW w:w="5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b/>
                <w:bCs/>
                <w:color w:val="000000"/>
                <w:kern w:val="0"/>
                <w:sz w:val="18"/>
                <w:szCs w:val="18"/>
              </w:rPr>
            </w:pPr>
            <w:bookmarkStart w:id="15" w:name="_Hlk216870764"/>
            <w:r>
              <w:rPr>
                <w:rFonts w:ascii="宋体" w:hAnsi="宋体" w:cs="宋体"/>
                <w:b/>
                <w:bCs/>
                <w:color w:val="000000"/>
                <w:kern w:val="0"/>
                <w:sz w:val="18"/>
                <w:szCs w:val="18"/>
              </w:rPr>
              <w:t>3</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价格C</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b/>
                <w:bCs/>
                <w:color w:val="FF0000"/>
                <w:kern w:val="0"/>
                <w:sz w:val="18"/>
                <w:szCs w:val="18"/>
              </w:rPr>
            </w:pPr>
            <w:r>
              <w:rPr>
                <w:rFonts w:hint="eastAsia" w:ascii="宋体" w:hAnsi="宋体" w:cs="宋体"/>
                <w:b/>
                <w:bCs/>
                <w:color w:val="FF0000"/>
                <w:kern w:val="0"/>
                <w:sz w:val="18"/>
                <w:szCs w:val="18"/>
              </w:rPr>
              <w:t>项目总价T（含税）</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b/>
                <w:bCs/>
                <w:color w:val="FF0000"/>
                <w:kern w:val="0"/>
                <w:sz w:val="18"/>
                <w:szCs w:val="18"/>
              </w:rPr>
              <w:t>60分</w:t>
            </w:r>
          </w:p>
        </w:tc>
        <w:tc>
          <w:tcPr>
            <w:tcW w:w="521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FF0000"/>
                <w:kern w:val="0"/>
                <w:sz w:val="18"/>
                <w:szCs w:val="18"/>
              </w:rPr>
            </w:pPr>
            <w:r>
              <w:rPr>
                <w:rFonts w:hint="eastAsia" w:ascii="宋体" w:hAnsi="宋体" w:cs="宋体"/>
                <w:b/>
                <w:bCs/>
                <w:color w:val="FF0000"/>
                <w:kern w:val="0"/>
                <w:sz w:val="18"/>
                <w:szCs w:val="18"/>
              </w:rPr>
              <w:t>平均价格法：</w:t>
            </w:r>
          </w:p>
          <w:p>
            <w:pPr>
              <w:widowControl/>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1、评标基准价：取所有合格投标人有效报价的算术平均值*</w:t>
            </w:r>
            <w:r>
              <w:rPr>
                <w:rFonts w:ascii="宋体" w:hAnsi="宋体" w:cs="宋体"/>
                <w:b/>
                <w:bCs/>
                <w:color w:val="000000"/>
                <w:kern w:val="0"/>
                <w:sz w:val="18"/>
                <w:szCs w:val="18"/>
              </w:rPr>
              <w:t>0.95</w:t>
            </w:r>
            <w:r>
              <w:rPr>
                <w:rFonts w:hint="eastAsia" w:ascii="宋体" w:hAnsi="宋体" w:cs="宋体"/>
                <w:b/>
                <w:bCs/>
                <w:color w:val="000000"/>
                <w:kern w:val="0"/>
                <w:sz w:val="18"/>
                <w:szCs w:val="18"/>
              </w:rPr>
              <w:t>作为评标基准价</w:t>
            </w:r>
          </w:p>
          <w:p>
            <w:pPr>
              <w:widowControl/>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2、偏差率=100%×｜评审价-评标基准价｜/评标基准价</w:t>
            </w:r>
          </w:p>
          <w:p>
            <w:pPr>
              <w:widowControl/>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3、偏差系数：</w:t>
            </w:r>
          </w:p>
          <w:p>
            <w:pPr>
              <w:widowControl/>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①如果投标人的评审价＞评标基准价，偏差系数为</w:t>
            </w:r>
            <w:r>
              <w:rPr>
                <w:rFonts w:hint="eastAsia" w:ascii="宋体" w:hAnsi="宋体" w:cs="宋体"/>
                <w:b/>
                <w:bCs/>
                <w:color w:val="0000FF"/>
                <w:kern w:val="0"/>
                <w:sz w:val="18"/>
                <w:szCs w:val="18"/>
              </w:rPr>
              <w:t>1.5</w:t>
            </w:r>
          </w:p>
          <w:p>
            <w:pPr>
              <w:widowControl/>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②如果投标人的评审价≤评标基准价，偏差系数为</w:t>
            </w:r>
            <w:r>
              <w:rPr>
                <w:rFonts w:hint="eastAsia" w:ascii="宋体" w:hAnsi="宋体" w:cs="宋体"/>
                <w:b/>
                <w:bCs/>
                <w:color w:val="0000FF"/>
                <w:kern w:val="0"/>
                <w:sz w:val="18"/>
                <w:szCs w:val="18"/>
              </w:rPr>
              <w:t>1</w:t>
            </w:r>
          </w:p>
          <w:p>
            <w:pPr>
              <w:widowControl/>
              <w:spacing w:line="240" w:lineRule="exact"/>
              <w:jc w:val="left"/>
              <w:rPr>
                <w:rFonts w:hint="eastAsia" w:ascii="宋体" w:hAnsi="宋体" w:cs="宋体"/>
                <w:b/>
                <w:bCs/>
                <w:color w:val="0000FF"/>
                <w:kern w:val="0"/>
                <w:sz w:val="18"/>
                <w:szCs w:val="18"/>
              </w:rPr>
            </w:pPr>
            <w:r>
              <w:rPr>
                <w:rFonts w:hint="eastAsia" w:ascii="宋体" w:hAnsi="宋体" w:cs="宋体"/>
                <w:b/>
                <w:bCs/>
                <w:color w:val="000000"/>
                <w:kern w:val="0"/>
                <w:sz w:val="18"/>
                <w:szCs w:val="18"/>
              </w:rPr>
              <w:t>价格得分=价格满分-偏差率×偏差系数×价格满分</w:t>
            </w:r>
          </w:p>
        </w:tc>
        <w:tc>
          <w:tcPr>
            <w:tcW w:w="4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b/>
                <w:bCs/>
                <w:color w:val="0000FF"/>
                <w:kern w:val="0"/>
                <w:sz w:val="18"/>
                <w:szCs w:val="18"/>
              </w:rPr>
            </w:pPr>
            <w:r>
              <w:rPr>
                <w:rFonts w:hint="eastAsia" w:ascii="宋体" w:hAnsi="宋体" w:cs="宋体"/>
                <w:b/>
                <w:bCs/>
                <w:color w:val="0000FF"/>
                <w:kern w:val="0"/>
                <w:sz w:val="18"/>
                <w:szCs w:val="18"/>
              </w:rPr>
              <w:t>1、投标报价一览表所涉及的项目总价T及附件3-工程量报价清单明细报价</w:t>
            </w:r>
          </w:p>
          <w:p>
            <w:pPr>
              <w:widowControl/>
              <w:spacing w:line="240" w:lineRule="exact"/>
              <w:jc w:val="left"/>
              <w:rPr>
                <w:rFonts w:hint="eastAsia" w:ascii="宋体" w:hAnsi="宋体" w:cs="宋体"/>
                <w:b/>
                <w:bCs/>
                <w:color w:val="0000FF"/>
                <w:kern w:val="0"/>
                <w:sz w:val="18"/>
                <w:szCs w:val="18"/>
              </w:rPr>
            </w:pPr>
            <w:r>
              <w:rPr>
                <w:rFonts w:hint="eastAsia" w:ascii="宋体" w:hAnsi="宋体" w:cs="宋体"/>
                <w:b/>
                <w:bCs/>
                <w:color w:val="0000FF"/>
                <w:kern w:val="0"/>
                <w:sz w:val="18"/>
                <w:szCs w:val="18"/>
              </w:rPr>
              <w:t>2、各分项报价保留小数点后2位有效数字</w:t>
            </w:r>
          </w:p>
          <w:bookmarkEnd w:id="15"/>
        </w:tc>
      </w:tr>
      <w:bookmarkEnd w:id="14"/>
    </w:tbl>
    <w:p>
      <w:pPr>
        <w:rPr>
          <w:rFonts w:hint="eastAsia" w:ascii="等线" w:hAnsi="等线" w:eastAsia="等线"/>
          <w:b/>
          <w:bCs/>
          <w:sz w:val="18"/>
          <w:szCs w:val="18"/>
        </w:rPr>
      </w:pPr>
    </w:p>
    <w:sectPr>
      <w:pgSz w:w="16838" w:h="11906" w:orient="landscape"/>
      <w:pgMar w:top="1134"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0320"/>
    <w:multiLevelType w:val="multilevel"/>
    <w:tmpl w:val="04950320"/>
    <w:lvl w:ilvl="0" w:tentative="0">
      <w:start w:val="1"/>
      <w:numFmt w:val="chineseCountingThousand"/>
      <w:suff w:val="space"/>
      <w:lvlText w:val="%1、"/>
      <w:lvlJc w:val="left"/>
      <w:pPr>
        <w:ind w:left="440" w:hanging="440"/>
      </w:pPr>
      <w:rPr>
        <w:rFonts w:hint="eastAsia"/>
        <w:b/>
        <w:bCs w:val="0"/>
        <w:color w:val="auto"/>
      </w:rPr>
    </w:lvl>
    <w:lvl w:ilvl="1" w:tentative="0">
      <w:start w:val="1"/>
      <w:numFmt w:val="decimal"/>
      <w:suff w:val="space"/>
      <w:lvlText w:val="%2、"/>
      <w:lvlJc w:val="left"/>
      <w:pPr>
        <w:ind w:left="360" w:hanging="360"/>
      </w:pPr>
      <w:rPr>
        <w:rFonts w:hint="default"/>
        <w:color w:val="auto"/>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D006CB9"/>
    <w:multiLevelType w:val="multilevel"/>
    <w:tmpl w:val="0D006CB9"/>
    <w:lvl w:ilvl="0" w:tentative="0">
      <w:start w:val="1"/>
      <w:numFmt w:val="chineseCountingThousand"/>
      <w:suff w:val="space"/>
      <w:lvlText w:val="(%1)"/>
      <w:lvlJc w:val="left"/>
      <w:pPr>
        <w:ind w:left="0" w:firstLine="0"/>
      </w:pPr>
      <w:rPr>
        <w:rFonts w:hint="eastAsia"/>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072F7D"/>
    <w:multiLevelType w:val="multilevel"/>
    <w:tmpl w:val="22072F7D"/>
    <w:lvl w:ilvl="0" w:tentative="0">
      <w:start w:val="1"/>
      <w:numFmt w:val="decimal"/>
      <w:suff w:val="space"/>
      <w:lvlText w:val="%1、"/>
      <w:lvlJc w:val="left"/>
      <w:pPr>
        <w:ind w:left="357" w:hanging="357"/>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51265CC4"/>
    <w:multiLevelType w:val="multilevel"/>
    <w:tmpl w:val="51265CC4"/>
    <w:lvl w:ilvl="0" w:tentative="0">
      <w:start w:val="1"/>
      <w:numFmt w:val="decimal"/>
      <w:suff w:val="space"/>
      <w:lvlText w:val="%1、"/>
      <w:lvlJc w:val="left"/>
      <w:pPr>
        <w:ind w:left="360" w:hanging="360"/>
      </w:pPr>
      <w:rPr>
        <w:rFonts w:hint="default"/>
      </w:rPr>
    </w:lvl>
    <w:lvl w:ilvl="1" w:tentative="0">
      <w:start w:val="1"/>
      <w:numFmt w:val="decimal"/>
      <w:suff w:val="space"/>
      <w:lvlText w:val="%2、"/>
      <w:lvlJc w:val="left"/>
      <w:pPr>
        <w:ind w:left="357" w:hanging="357"/>
      </w:pPr>
      <w:rPr>
        <w:rFonts w:hint="default"/>
      </w:rPr>
    </w:lvl>
    <w:lvl w:ilvl="2" w:tentative="0">
      <w:start w:val="1"/>
      <w:numFmt w:val="decimal"/>
      <w:lvlText w:val="%3"/>
      <w:lvlJc w:val="left"/>
      <w:pPr>
        <w:ind w:left="0" w:firstLine="0"/>
      </w:pPr>
      <w:rPr>
        <w:rFonts w:hint="default"/>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0D64"/>
    <w:rsid w:val="00052384"/>
    <w:rsid w:val="00055004"/>
    <w:rsid w:val="0005690C"/>
    <w:rsid w:val="0006225D"/>
    <w:rsid w:val="00071DDA"/>
    <w:rsid w:val="00086BF8"/>
    <w:rsid w:val="0009445B"/>
    <w:rsid w:val="000A2ABB"/>
    <w:rsid w:val="000B0B65"/>
    <w:rsid w:val="000B2A32"/>
    <w:rsid w:val="000C3DB0"/>
    <w:rsid w:val="000D3FB3"/>
    <w:rsid w:val="000E6041"/>
    <w:rsid w:val="000F4A51"/>
    <w:rsid w:val="000F5427"/>
    <w:rsid w:val="00105477"/>
    <w:rsid w:val="001132DF"/>
    <w:rsid w:val="00142E42"/>
    <w:rsid w:val="00143264"/>
    <w:rsid w:val="00161C70"/>
    <w:rsid w:val="00172A27"/>
    <w:rsid w:val="00196C64"/>
    <w:rsid w:val="001C34FE"/>
    <w:rsid w:val="001D336D"/>
    <w:rsid w:val="001D6087"/>
    <w:rsid w:val="001E00C0"/>
    <w:rsid w:val="00200525"/>
    <w:rsid w:val="002134F3"/>
    <w:rsid w:val="00214B8E"/>
    <w:rsid w:val="00223A26"/>
    <w:rsid w:val="00223B7B"/>
    <w:rsid w:val="00230B74"/>
    <w:rsid w:val="002442EE"/>
    <w:rsid w:val="00275DE6"/>
    <w:rsid w:val="002C4FA0"/>
    <w:rsid w:val="002E74D2"/>
    <w:rsid w:val="002F4E44"/>
    <w:rsid w:val="003148B5"/>
    <w:rsid w:val="00321756"/>
    <w:rsid w:val="003536BD"/>
    <w:rsid w:val="00365639"/>
    <w:rsid w:val="00382ADE"/>
    <w:rsid w:val="003855FD"/>
    <w:rsid w:val="00385C1C"/>
    <w:rsid w:val="00393AF6"/>
    <w:rsid w:val="0042263E"/>
    <w:rsid w:val="004226BD"/>
    <w:rsid w:val="004369AD"/>
    <w:rsid w:val="004622C9"/>
    <w:rsid w:val="004647BB"/>
    <w:rsid w:val="00464AFF"/>
    <w:rsid w:val="004A5A99"/>
    <w:rsid w:val="004D34D3"/>
    <w:rsid w:val="0051567C"/>
    <w:rsid w:val="00520ABA"/>
    <w:rsid w:val="005529F3"/>
    <w:rsid w:val="00557935"/>
    <w:rsid w:val="00560705"/>
    <w:rsid w:val="00577294"/>
    <w:rsid w:val="005A3146"/>
    <w:rsid w:val="005A590D"/>
    <w:rsid w:val="005C3CA5"/>
    <w:rsid w:val="005C6EAE"/>
    <w:rsid w:val="005E5FA8"/>
    <w:rsid w:val="005F1A54"/>
    <w:rsid w:val="005F54F8"/>
    <w:rsid w:val="00617A00"/>
    <w:rsid w:val="00627020"/>
    <w:rsid w:val="00654F9A"/>
    <w:rsid w:val="00654FEB"/>
    <w:rsid w:val="00661D39"/>
    <w:rsid w:val="006943B1"/>
    <w:rsid w:val="006958A2"/>
    <w:rsid w:val="006A250F"/>
    <w:rsid w:val="006B6A7B"/>
    <w:rsid w:val="006F7293"/>
    <w:rsid w:val="00703983"/>
    <w:rsid w:val="00723765"/>
    <w:rsid w:val="007242A9"/>
    <w:rsid w:val="00724CE0"/>
    <w:rsid w:val="007344EA"/>
    <w:rsid w:val="00746192"/>
    <w:rsid w:val="00751243"/>
    <w:rsid w:val="00770154"/>
    <w:rsid w:val="00773E90"/>
    <w:rsid w:val="007A1BA8"/>
    <w:rsid w:val="007A32BB"/>
    <w:rsid w:val="007A60AA"/>
    <w:rsid w:val="007A7EBB"/>
    <w:rsid w:val="007B5EAE"/>
    <w:rsid w:val="007E72ED"/>
    <w:rsid w:val="007F7DC7"/>
    <w:rsid w:val="00837E10"/>
    <w:rsid w:val="008450B7"/>
    <w:rsid w:val="00852DB8"/>
    <w:rsid w:val="00862DA9"/>
    <w:rsid w:val="00863D98"/>
    <w:rsid w:val="00870A69"/>
    <w:rsid w:val="00871A69"/>
    <w:rsid w:val="00877585"/>
    <w:rsid w:val="00892C81"/>
    <w:rsid w:val="009051D8"/>
    <w:rsid w:val="00935728"/>
    <w:rsid w:val="00956A02"/>
    <w:rsid w:val="0098516E"/>
    <w:rsid w:val="00985317"/>
    <w:rsid w:val="009A5EB9"/>
    <w:rsid w:val="009B0972"/>
    <w:rsid w:val="009B742A"/>
    <w:rsid w:val="009C48CE"/>
    <w:rsid w:val="009F1404"/>
    <w:rsid w:val="00A23D2B"/>
    <w:rsid w:val="00A646A2"/>
    <w:rsid w:val="00A67251"/>
    <w:rsid w:val="00A953E3"/>
    <w:rsid w:val="00AB2F20"/>
    <w:rsid w:val="00AD7822"/>
    <w:rsid w:val="00B06412"/>
    <w:rsid w:val="00B55276"/>
    <w:rsid w:val="00B737BA"/>
    <w:rsid w:val="00B742E3"/>
    <w:rsid w:val="00BA3827"/>
    <w:rsid w:val="00BB16E0"/>
    <w:rsid w:val="00BB45F0"/>
    <w:rsid w:val="00BE1AA5"/>
    <w:rsid w:val="00BF6E8D"/>
    <w:rsid w:val="00C17EF4"/>
    <w:rsid w:val="00C26D29"/>
    <w:rsid w:val="00C3109C"/>
    <w:rsid w:val="00C31999"/>
    <w:rsid w:val="00C3537D"/>
    <w:rsid w:val="00C41956"/>
    <w:rsid w:val="00C57249"/>
    <w:rsid w:val="00C83FF4"/>
    <w:rsid w:val="00CA2B21"/>
    <w:rsid w:val="00CB25DB"/>
    <w:rsid w:val="00CB5CB7"/>
    <w:rsid w:val="00CC409F"/>
    <w:rsid w:val="00CF7EB6"/>
    <w:rsid w:val="00D02256"/>
    <w:rsid w:val="00D1191E"/>
    <w:rsid w:val="00D34B45"/>
    <w:rsid w:val="00D36837"/>
    <w:rsid w:val="00D43C43"/>
    <w:rsid w:val="00D44D39"/>
    <w:rsid w:val="00D52215"/>
    <w:rsid w:val="00D54667"/>
    <w:rsid w:val="00D55399"/>
    <w:rsid w:val="00D60116"/>
    <w:rsid w:val="00D973F5"/>
    <w:rsid w:val="00DB2073"/>
    <w:rsid w:val="00DE75AF"/>
    <w:rsid w:val="00DF6A0F"/>
    <w:rsid w:val="00E425AA"/>
    <w:rsid w:val="00E44D16"/>
    <w:rsid w:val="00E91FEB"/>
    <w:rsid w:val="00EA09AD"/>
    <w:rsid w:val="00EA4FE3"/>
    <w:rsid w:val="00EB1A34"/>
    <w:rsid w:val="00EE06F4"/>
    <w:rsid w:val="00EE3E81"/>
    <w:rsid w:val="00F0184F"/>
    <w:rsid w:val="00F01F45"/>
    <w:rsid w:val="00F26B3B"/>
    <w:rsid w:val="00F30C33"/>
    <w:rsid w:val="00F467AD"/>
    <w:rsid w:val="00F66A1B"/>
    <w:rsid w:val="00F8763E"/>
    <w:rsid w:val="00FA6120"/>
    <w:rsid w:val="00FB031B"/>
    <w:rsid w:val="00FB1B5D"/>
    <w:rsid w:val="00FB1D21"/>
    <w:rsid w:val="00FB60F2"/>
    <w:rsid w:val="00FC0368"/>
    <w:rsid w:val="022551BE"/>
    <w:rsid w:val="02BF0A2C"/>
    <w:rsid w:val="28D64C70"/>
    <w:rsid w:val="2A9A6A3F"/>
    <w:rsid w:val="2C9C69E0"/>
    <w:rsid w:val="2CE360C1"/>
    <w:rsid w:val="308560FA"/>
    <w:rsid w:val="40394773"/>
    <w:rsid w:val="464A4625"/>
    <w:rsid w:val="482960B1"/>
    <w:rsid w:val="59405E35"/>
    <w:rsid w:val="5B606120"/>
    <w:rsid w:val="643C6F6D"/>
    <w:rsid w:val="66CA10FA"/>
    <w:rsid w:val="681475F9"/>
    <w:rsid w:val="69DC5C4C"/>
    <w:rsid w:val="70BF30CF"/>
    <w:rsid w:val="77567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9"/>
    <w:pPr>
      <w:keepNext/>
      <w:keepLines/>
      <w:spacing w:before="260" w:after="260"/>
      <w:jc w:val="center"/>
      <w:outlineLvl w:val="2"/>
    </w:pPr>
    <w:rPr>
      <w:rFonts w:ascii="Times New Roman" w:hAnsi="Times New Roman"/>
      <w:b/>
      <w:sz w:val="32"/>
    </w:rPr>
  </w:style>
  <w:style w:type="character" w:default="1" w:styleId="10">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2"/>
    <w:uiPriority w:val="0"/>
    <w:rPr>
      <w:b/>
      <w:bCs/>
    </w:rPr>
  </w:style>
  <w:style w:type="paragraph" w:styleId="4">
    <w:name w:val="annotation text"/>
    <w:basedOn w:val="1"/>
    <w:link w:val="21"/>
    <w:qFormat/>
    <w:uiPriority w:val="0"/>
    <w:pPr>
      <w:jc w:val="left"/>
    </w:pPr>
  </w:style>
  <w:style w:type="paragraph" w:styleId="5">
    <w:name w:val="Body Text"/>
    <w:basedOn w:val="1"/>
    <w:unhideWhenUsed/>
    <w:qFormat/>
    <w:uiPriority w:val="99"/>
    <w:pPr>
      <w:spacing w:line="380" w:lineRule="exact"/>
    </w:pPr>
    <w:rPr>
      <w:rFonts w:ascii="Times New Roman" w:hAnsi="Times New Roman"/>
      <w:sz w:val="24"/>
    </w:rPr>
  </w:style>
  <w:style w:type="paragraph" w:styleId="6">
    <w:name w:val="Balloon Text"/>
    <w:basedOn w:val="1"/>
    <w:link w:val="26"/>
    <w:qFormat/>
    <w:uiPriority w:val="0"/>
    <w:rPr>
      <w:sz w:val="18"/>
      <w:szCs w:val="18"/>
    </w:rPr>
  </w:style>
  <w:style w:type="paragraph" w:styleId="7">
    <w:name w:val="footer"/>
    <w:basedOn w:val="1"/>
    <w:link w:val="24"/>
    <w:qFormat/>
    <w:uiPriority w:val="0"/>
    <w:pPr>
      <w:tabs>
        <w:tab w:val="center" w:pos="4153"/>
        <w:tab w:val="right" w:pos="8306"/>
      </w:tabs>
      <w:snapToGrid w:val="0"/>
      <w:jc w:val="left"/>
    </w:pPr>
    <w:rPr>
      <w:sz w:val="18"/>
      <w:szCs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Hyperlink"/>
    <w:basedOn w:val="10"/>
    <w:qFormat/>
    <w:uiPriority w:val="0"/>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paragraph" w:styleId="14">
    <w:name w:val="List Paragraph"/>
    <w:basedOn w:val="1"/>
    <w:qFormat/>
    <w:uiPriority w:val="34"/>
    <w:pPr>
      <w:ind w:firstLine="420" w:firstLineChars="200"/>
    </w:pPr>
    <w:rPr>
      <w:rFonts w:ascii="Times New Roman" w:hAnsi="Times New Roman"/>
      <w:sz w:val="24"/>
      <w:szCs w:val="24"/>
    </w:rPr>
  </w:style>
  <w:style w:type="character" w:customStyle="1" w:styleId="15">
    <w:name w:val="font71"/>
    <w:basedOn w:val="10"/>
    <w:qFormat/>
    <w:uiPriority w:val="0"/>
    <w:rPr>
      <w:rFonts w:hint="eastAsia" w:ascii="宋体" w:hAnsi="宋体" w:eastAsia="宋体" w:cs="宋体"/>
      <w:color w:val="000000"/>
      <w:sz w:val="20"/>
      <w:szCs w:val="20"/>
      <w:u w:val="none"/>
    </w:rPr>
  </w:style>
  <w:style w:type="character" w:customStyle="1" w:styleId="16">
    <w:name w:val="font101"/>
    <w:basedOn w:val="10"/>
    <w:qFormat/>
    <w:uiPriority w:val="0"/>
    <w:rPr>
      <w:rFonts w:hint="eastAsia" w:ascii="宋体" w:hAnsi="宋体" w:eastAsia="宋体" w:cs="宋体"/>
      <w:color w:val="auto"/>
      <w:sz w:val="20"/>
      <w:szCs w:val="20"/>
      <w:u w:val="none"/>
    </w:rPr>
  </w:style>
  <w:style w:type="character" w:customStyle="1" w:styleId="17">
    <w:name w:val="font61"/>
    <w:basedOn w:val="10"/>
    <w:qFormat/>
    <w:uiPriority w:val="0"/>
    <w:rPr>
      <w:rFonts w:hint="eastAsia" w:ascii="宋体" w:hAnsi="宋体" w:eastAsia="宋体" w:cs="宋体"/>
      <w:color w:val="000000"/>
      <w:sz w:val="20"/>
      <w:szCs w:val="20"/>
      <w:u w:val="none"/>
    </w:rPr>
  </w:style>
  <w:style w:type="character" w:customStyle="1" w:styleId="18">
    <w:name w:val="font81"/>
    <w:basedOn w:val="10"/>
    <w:qFormat/>
    <w:uiPriority w:val="0"/>
    <w:rPr>
      <w:rFonts w:hint="eastAsia" w:ascii="宋体" w:hAnsi="宋体" w:eastAsia="宋体" w:cs="宋体"/>
      <w:b/>
      <w:color w:val="1F497D"/>
      <w:sz w:val="20"/>
      <w:szCs w:val="20"/>
      <w:u w:val="none"/>
    </w:rPr>
  </w:style>
  <w:style w:type="character" w:customStyle="1" w:styleId="19">
    <w:name w:val="font91"/>
    <w:basedOn w:val="10"/>
    <w:qFormat/>
    <w:uiPriority w:val="0"/>
    <w:rPr>
      <w:rFonts w:hint="eastAsia" w:ascii="宋体" w:hAnsi="宋体" w:eastAsia="宋体" w:cs="宋体"/>
      <w:b/>
      <w:color w:val="FF0000"/>
      <w:sz w:val="20"/>
      <w:szCs w:val="20"/>
      <w:u w:val="none"/>
    </w:rPr>
  </w:style>
  <w:style w:type="character" w:customStyle="1" w:styleId="20">
    <w:name w:val="font51"/>
    <w:basedOn w:val="10"/>
    <w:qFormat/>
    <w:uiPriority w:val="0"/>
    <w:rPr>
      <w:rFonts w:hint="eastAsia" w:ascii="宋体" w:hAnsi="宋体" w:eastAsia="宋体" w:cs="宋体"/>
      <w:color w:val="000000"/>
      <w:sz w:val="20"/>
      <w:szCs w:val="20"/>
      <w:u w:val="none"/>
    </w:rPr>
  </w:style>
  <w:style w:type="character" w:customStyle="1" w:styleId="21">
    <w:name w:val="批注文字 字符"/>
    <w:basedOn w:val="10"/>
    <w:link w:val="4"/>
    <w:qFormat/>
    <w:uiPriority w:val="0"/>
    <w:rPr>
      <w:rFonts w:ascii="Calibri" w:hAnsi="Calibri"/>
      <w:kern w:val="2"/>
      <w:sz w:val="21"/>
      <w:szCs w:val="22"/>
    </w:rPr>
  </w:style>
  <w:style w:type="character" w:customStyle="1" w:styleId="22">
    <w:name w:val="批注主题 字符"/>
    <w:basedOn w:val="21"/>
    <w:link w:val="3"/>
    <w:qFormat/>
    <w:uiPriority w:val="0"/>
    <w:rPr>
      <w:rFonts w:ascii="Calibri" w:hAnsi="Calibri"/>
      <w:b/>
      <w:bCs/>
      <w:kern w:val="2"/>
      <w:sz w:val="21"/>
      <w:szCs w:val="22"/>
    </w:rPr>
  </w:style>
  <w:style w:type="character" w:customStyle="1" w:styleId="23">
    <w:name w:val="页眉 字符"/>
    <w:basedOn w:val="10"/>
    <w:link w:val="8"/>
    <w:qFormat/>
    <w:uiPriority w:val="0"/>
    <w:rPr>
      <w:rFonts w:ascii="Calibri" w:hAnsi="Calibri"/>
      <w:kern w:val="2"/>
      <w:sz w:val="18"/>
      <w:szCs w:val="18"/>
    </w:rPr>
  </w:style>
  <w:style w:type="character" w:customStyle="1" w:styleId="24">
    <w:name w:val="页脚 字符"/>
    <w:basedOn w:val="10"/>
    <w:link w:val="7"/>
    <w:qFormat/>
    <w:uiPriority w:val="0"/>
    <w:rPr>
      <w:rFonts w:ascii="Calibri" w:hAnsi="Calibri"/>
      <w:kern w:val="2"/>
      <w:sz w:val="18"/>
      <w:szCs w:val="18"/>
    </w:rPr>
  </w:style>
  <w:style w:type="character" w:customStyle="1" w:styleId="25">
    <w:name w:val="Unresolved Mention"/>
    <w:basedOn w:val="10"/>
    <w:semiHidden/>
    <w:unhideWhenUsed/>
    <w:qFormat/>
    <w:uiPriority w:val="99"/>
    <w:rPr>
      <w:color w:val="605E5C"/>
      <w:shd w:val="clear" w:color="auto" w:fill="E1DFDD"/>
    </w:rPr>
  </w:style>
  <w:style w:type="character" w:customStyle="1" w:styleId="26">
    <w:name w:val="批注框文本 字符"/>
    <w:basedOn w:val="10"/>
    <w:link w:val="6"/>
    <w:qFormat/>
    <w:uiPriority w:val="0"/>
    <w:rPr>
      <w:rFonts w:ascii="Calibri" w:hAnsi="Calibri"/>
      <w:kern w:val="2"/>
      <w:sz w:val="18"/>
      <w:szCs w:val="18"/>
    </w:rPr>
  </w:style>
  <w:style w:type="paragraph" w:customStyle="1" w:styleId="27">
    <w:name w:val="_Style 26"/>
    <w:basedOn w:val="1"/>
    <w:next w:val="14"/>
    <w:qFormat/>
    <w:uiPriority w:val="34"/>
    <w:pPr>
      <w:ind w:firstLine="420" w:firstLineChars="200"/>
    </w:pPr>
    <w:rPr>
      <w:rFonts w:ascii="等线" w:hAnsi="等线" w:eastAsia="等线"/>
    </w:rPr>
  </w:style>
  <w:style w:type="paragraph" w:customStyle="1" w:styleId="28">
    <w:name w:val="_Style 27"/>
    <w:basedOn w:val="1"/>
    <w:next w:val="14"/>
    <w:qFormat/>
    <w:uiPriority w:val="34"/>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415</Words>
  <Characters>2372</Characters>
  <Lines>19</Lines>
  <Paragraphs>5</Paragraphs>
  <TotalTime>0</TotalTime>
  <ScaleCrop>false</ScaleCrop>
  <LinksUpToDate>false</LinksUpToDate>
  <CharactersWithSpaces>2782</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2026-03-23T02:40:00Z</dcterms:created>
  <dc:creator>chenyaohui</dc:creator>
  <cp:lastModifiedBy>chenyaohui</cp:lastModifiedBy>
  <dcterms:modified xsi:type="dcterms:W3CDTF">2026-03-25T08:12:09Z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