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120"/>
        <w:rPr>
          <w:rFonts w:hint="eastAsia"/>
          <w:sz w:val="30"/>
          <w:szCs w:val="30"/>
        </w:rPr>
      </w:pPr>
      <w:bookmarkStart w:id="0" w:name="_Toc5934"/>
      <w:bookmarkStart w:id="1" w:name="_Toc97560485"/>
      <w:bookmarkStart w:id="2" w:name="_Toc26315"/>
      <w:bookmarkStart w:id="3" w:name="_Toc21409"/>
      <w:bookmarkStart w:id="4" w:name="_Toc19915"/>
      <w:bookmarkStart w:id="5" w:name="_Toc14358"/>
      <w:bookmarkStart w:id="6" w:name="_Toc17193"/>
      <w:bookmarkStart w:id="7" w:name="_Toc20631"/>
      <w:r>
        <w:rPr>
          <w:rFonts w:hint="eastAsia"/>
          <w:sz w:val="30"/>
          <w:szCs w:val="30"/>
          <w:lang w:val="en-US" w:eastAsia="zh-CN"/>
        </w:rPr>
        <w:t>2026虚拟化存储系统升级</w:t>
      </w:r>
      <w:r>
        <w:rPr>
          <w:rFonts w:hint="eastAsia"/>
          <w:sz w:val="30"/>
          <w:szCs w:val="30"/>
        </w:rPr>
        <w:t>招标项目</w:t>
      </w:r>
      <w:bookmarkStart w:id="8" w:name="OLE_LINK3"/>
    </w:p>
    <w:p>
      <w:pPr>
        <w:pStyle w:val="2"/>
        <w:keepNext w:val="0"/>
        <w:keepLines w:val="0"/>
        <w:adjustRightInd w:val="0"/>
        <w:snapToGrid w:val="0"/>
        <w:spacing w:before="0" w:after="120"/>
        <w:rPr>
          <w:sz w:val="30"/>
          <w:szCs w:val="30"/>
        </w:rPr>
      </w:pPr>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bookmarkEnd w:id="8"/>
      <w:r>
        <w:rPr>
          <w:rFonts w:hint="eastAsia"/>
          <w:sz w:val="30"/>
          <w:szCs w:val="30"/>
        </w:rPr>
        <w:t>-(非生产物资&amp;服务)</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rPr>
      </w:pPr>
      <w:r>
        <w:rPr>
          <w:rFonts w:ascii="宋体" w:hAnsi="宋体"/>
          <w:b/>
          <w:sz w:val="28"/>
          <w:szCs w:val="28"/>
          <w:lang w:val="zh-CN"/>
        </w:rPr>
        <w:t>评标方法：综合</w:t>
      </w:r>
      <w:r>
        <w:rPr>
          <w:rFonts w:hint="eastAsia" w:ascii="宋体" w:hAnsi="宋体"/>
          <w:b/>
          <w:sz w:val="28"/>
          <w:szCs w:val="28"/>
          <w:lang w:val="zh-CN"/>
        </w:rPr>
        <w:t>评审</w:t>
      </w:r>
      <w:r>
        <w:rPr>
          <w:rFonts w:ascii="宋体" w:hAnsi="宋体"/>
          <w:b/>
          <w:sz w:val="28"/>
          <w:szCs w:val="28"/>
          <w:lang w:val="zh-CN"/>
        </w:rPr>
        <w:t>法</w:t>
      </w:r>
    </w:p>
    <w:p>
      <w:pPr>
        <w:spacing w:line="360" w:lineRule="auto"/>
        <w:ind w:firstLine="480" w:firstLineChars="200"/>
        <w:rPr>
          <w:rFonts w:hint="eastAsia" w:ascii="宋体" w:hAnsi="宋体"/>
          <w:sz w:val="24"/>
          <w:lang w:val="zh-CN"/>
        </w:rPr>
      </w:pPr>
      <w:bookmarkStart w:id="9" w:name="OLE_LINK6"/>
      <w:r>
        <w:rPr>
          <w:rFonts w:ascii="宋体" w:hAnsi="宋体"/>
          <w:sz w:val="24"/>
          <w:lang w:val="zh-CN"/>
        </w:rPr>
        <w:t>对所有投标人的投标文件评审，都采用相同的程序和标准。</w:t>
      </w:r>
    </w:p>
    <w:p>
      <w:pPr>
        <w:pStyle w:val="14"/>
        <w:numPr>
          <w:ilvl w:val="0"/>
          <w:numId w:val="2"/>
        </w:numPr>
        <w:spacing w:line="360" w:lineRule="auto"/>
        <w:ind w:left="0" w:firstLine="480"/>
        <w:rPr>
          <w:rFonts w:hint="eastAsia" w:ascii="宋体" w:hAnsi="宋体"/>
        </w:rPr>
      </w:pPr>
      <w:r>
        <w:rPr>
          <w:rFonts w:hint="eastAsia" w:ascii="宋体" w:hAnsi="宋体"/>
        </w:rPr>
        <w:t>采购评标小组成员</w:t>
      </w:r>
    </w:p>
    <w:p>
      <w:pPr>
        <w:spacing w:line="360" w:lineRule="auto"/>
        <w:ind w:firstLine="480" w:firstLineChars="200"/>
        <w:rPr>
          <w:rFonts w:hint="eastAsia" w:ascii="宋体" w:hAnsi="宋体"/>
          <w:sz w:val="24"/>
        </w:rPr>
      </w:pPr>
      <w:r>
        <w:rPr>
          <w:rFonts w:hint="eastAsia" w:ascii="宋体" w:hAnsi="宋体"/>
          <w:sz w:val="24"/>
        </w:rPr>
        <w:t>①开标评审人员均按项目类别由系统随机在金龙公司的开标评审人才库随机抽选；</w:t>
      </w:r>
    </w:p>
    <w:p>
      <w:pPr>
        <w:spacing w:line="360" w:lineRule="auto"/>
        <w:ind w:firstLine="480" w:firstLineChars="200"/>
        <w:rPr>
          <w:rFonts w:hint="eastAsia" w:ascii="宋体" w:hAnsi="宋体"/>
          <w:sz w:val="24"/>
        </w:rPr>
      </w:pPr>
      <w:r>
        <w:rPr>
          <w:rFonts w:hint="eastAsia" w:ascii="宋体" w:hAnsi="宋体"/>
          <w:sz w:val="24"/>
        </w:rPr>
        <w:t>②针对技术复杂、专业性强或者存在特殊原因的由采购承办部门&amp;招标中心根据情况指定评标人员。</w:t>
      </w:r>
    </w:p>
    <w:p>
      <w:pPr>
        <w:spacing w:line="360" w:lineRule="auto"/>
        <w:ind w:firstLine="480" w:firstLineChars="200"/>
        <w:rPr>
          <w:rFonts w:hint="eastAsia" w:ascii="宋体" w:hAnsi="宋体"/>
          <w:sz w:val="24"/>
          <w:lang w:val="zh-CN"/>
        </w:rPr>
      </w:pPr>
      <w:r>
        <w:rPr>
          <w:rFonts w:hint="eastAsia" w:ascii="宋体" w:hAnsi="宋体"/>
          <w:sz w:val="24"/>
        </w:rPr>
        <w:t>③评标人员成员一般为5人及以上单数。</w:t>
      </w:r>
    </w:p>
    <w:p>
      <w:pPr>
        <w:pStyle w:val="14"/>
        <w:numPr>
          <w:ilvl w:val="0"/>
          <w:numId w:val="2"/>
        </w:numPr>
        <w:spacing w:line="360" w:lineRule="auto"/>
        <w:ind w:left="0" w:firstLine="480"/>
        <w:rPr>
          <w:rFonts w:hint="eastAsia" w:ascii="宋体" w:hAnsi="宋体"/>
          <w:lang w:val="zh-CN"/>
        </w:rPr>
      </w:pPr>
      <w:r>
        <w:rPr>
          <w:rFonts w:ascii="宋体" w:hAnsi="宋体"/>
          <w:lang w:val="zh-CN"/>
        </w:rPr>
        <w:t>由</w:t>
      </w:r>
      <w:r>
        <w:rPr>
          <w:rFonts w:hint="eastAsia" w:ascii="宋体" w:hAnsi="宋体"/>
        </w:rPr>
        <w:t>招标评审小组成员</w:t>
      </w:r>
      <w:r>
        <w:rPr>
          <w:rFonts w:ascii="宋体" w:hAnsi="宋体"/>
          <w:lang w:val="zh-CN"/>
        </w:rPr>
        <w:t>根据</w:t>
      </w:r>
      <w:r>
        <w:rPr>
          <w:rFonts w:hint="eastAsia" w:ascii="宋体" w:hAnsi="宋体"/>
          <w:lang w:val="zh-CN"/>
        </w:rPr>
        <w:t>招标文件</w:t>
      </w:r>
      <w:r>
        <w:rPr>
          <w:rFonts w:hint="eastAsia" w:ascii="宋体" w:hAnsi="宋体"/>
        </w:rPr>
        <w:t>审核的</w:t>
      </w:r>
      <w:r>
        <w:rPr>
          <w:rFonts w:ascii="宋体" w:hAnsi="宋体"/>
          <w:lang w:val="zh-CN"/>
        </w:rPr>
        <w:t>要求</w:t>
      </w:r>
      <w:r>
        <w:rPr>
          <w:rFonts w:hint="eastAsia" w:ascii="宋体" w:hAnsi="宋体"/>
          <w:lang w:val="zh-CN"/>
        </w:rPr>
        <w:t>（</w:t>
      </w:r>
      <w:r>
        <w:rPr>
          <w:rFonts w:hint="eastAsia" w:ascii="宋体" w:hAnsi="宋体"/>
        </w:rPr>
        <w:t>评审项目、内容、相关佐证材料</w:t>
      </w:r>
      <w:r>
        <w:rPr>
          <w:rFonts w:hint="eastAsia" w:ascii="宋体" w:hAnsi="宋体"/>
          <w:lang w:val="zh-CN"/>
        </w:rPr>
        <w:t>）、</w:t>
      </w:r>
      <w:r>
        <w:rPr>
          <w:rFonts w:hint="eastAsia" w:ascii="宋体" w:hAnsi="宋体"/>
        </w:rPr>
        <w:t>评分标准和计分方法</w:t>
      </w:r>
      <w:r>
        <w:rPr>
          <w:rFonts w:ascii="宋体" w:hAnsi="宋体"/>
          <w:lang w:val="zh-CN"/>
        </w:rPr>
        <w:t>，审核</w:t>
      </w:r>
      <w:r>
        <w:rPr>
          <w:rFonts w:hint="eastAsia" w:ascii="宋体" w:hAnsi="宋体"/>
        </w:rPr>
        <w:t>和评审</w:t>
      </w:r>
      <w:r>
        <w:rPr>
          <w:rFonts w:ascii="宋体" w:hAnsi="宋体"/>
          <w:lang w:val="zh-CN"/>
        </w:rPr>
        <w:t>各</w:t>
      </w:r>
      <w:r>
        <w:rPr>
          <w:rFonts w:hint="eastAsia" w:ascii="宋体" w:hAnsi="宋体"/>
          <w:lang w:val="zh-CN"/>
        </w:rPr>
        <w:t>投标方的</w:t>
      </w:r>
      <w:r>
        <w:rPr>
          <w:rFonts w:ascii="宋体" w:hAnsi="宋体"/>
          <w:lang w:val="zh-CN"/>
        </w:rPr>
        <w:t>投标文件</w:t>
      </w:r>
      <w:r>
        <w:rPr>
          <w:rFonts w:hint="eastAsia" w:ascii="宋体" w:hAnsi="宋体"/>
        </w:rPr>
        <w:t>的审核部分</w:t>
      </w:r>
      <w:r>
        <w:rPr>
          <w:rFonts w:ascii="宋体" w:hAnsi="宋体"/>
          <w:lang w:val="zh-CN"/>
        </w:rPr>
        <w:t>是否合格、有效</w:t>
      </w:r>
      <w:r>
        <w:rPr>
          <w:rFonts w:hint="eastAsia" w:ascii="宋体" w:hAnsi="宋体"/>
        </w:rPr>
        <w:t>或评价审核得分</w:t>
      </w:r>
      <w:r>
        <w:rPr>
          <w:rFonts w:hint="eastAsia" w:ascii="宋体" w:hAnsi="宋体"/>
          <w:lang w:val="zh-CN"/>
        </w:rPr>
        <w:t>（</w:t>
      </w:r>
      <w:r>
        <w:rPr>
          <w:rFonts w:ascii="宋体" w:hAnsi="宋体"/>
          <w:lang w:val="zh-CN"/>
        </w:rPr>
        <w:t>凡不符合专业条件要求</w:t>
      </w:r>
      <w:r>
        <w:rPr>
          <w:rFonts w:hint="eastAsia" w:ascii="宋体" w:hAnsi="宋体"/>
          <w:lang w:val="zh-CN"/>
        </w:rPr>
        <w:t>项</w:t>
      </w:r>
      <w:r>
        <w:rPr>
          <w:rFonts w:ascii="宋体" w:hAnsi="宋体"/>
          <w:lang w:val="zh-CN"/>
        </w:rPr>
        <w:t>和未实质性响应</w:t>
      </w:r>
      <w:r>
        <w:rPr>
          <w:rFonts w:hint="eastAsia" w:ascii="宋体" w:hAnsi="宋体"/>
        </w:rPr>
        <w:t>审核</w:t>
      </w:r>
      <w:r>
        <w:rPr>
          <w:rFonts w:hint="eastAsia" w:ascii="宋体" w:hAnsi="宋体"/>
          <w:lang w:val="zh-CN"/>
        </w:rPr>
        <w:t>文件</w:t>
      </w:r>
      <w:r>
        <w:rPr>
          <w:rFonts w:ascii="宋体" w:hAnsi="宋体"/>
          <w:lang w:val="zh-CN"/>
        </w:rPr>
        <w:t>要求的</w:t>
      </w:r>
      <w:r>
        <w:rPr>
          <w:rFonts w:hint="eastAsia" w:ascii="宋体" w:hAnsi="宋体"/>
          <w:lang w:val="zh-CN"/>
        </w:rPr>
        <w:t>内容项</w:t>
      </w:r>
      <w:r>
        <w:rPr>
          <w:rFonts w:ascii="宋体" w:hAnsi="宋体"/>
          <w:lang w:val="zh-CN"/>
        </w:rPr>
        <w:t>均不</w:t>
      </w:r>
      <w:r>
        <w:rPr>
          <w:rFonts w:hint="eastAsia" w:ascii="宋体" w:hAnsi="宋体"/>
          <w:lang w:val="zh-CN"/>
        </w:rPr>
        <w:t>得分）</w:t>
      </w:r>
      <w:r>
        <w:rPr>
          <w:rFonts w:ascii="宋体" w:hAnsi="宋体"/>
          <w:lang w:val="zh-CN"/>
        </w:rPr>
        <w:t>。</w:t>
      </w:r>
    </w:p>
    <w:p>
      <w:pPr>
        <w:pStyle w:val="14"/>
        <w:numPr>
          <w:ilvl w:val="0"/>
          <w:numId w:val="2"/>
        </w:numPr>
        <w:spacing w:line="360" w:lineRule="auto"/>
        <w:ind w:left="0" w:firstLine="480"/>
        <w:rPr>
          <w:rFonts w:hint="eastAsia" w:ascii="宋体" w:hAnsi="宋体"/>
          <w:lang w:val="zh-CN"/>
        </w:rPr>
      </w:pPr>
      <w:r>
        <w:rPr>
          <w:rFonts w:ascii="宋体" w:hAnsi="宋体"/>
          <w:lang w:val="zh-CN"/>
        </w:rPr>
        <w:t>通过</w:t>
      </w:r>
      <w:r>
        <w:rPr>
          <w:rFonts w:hint="eastAsia" w:ascii="宋体" w:hAnsi="宋体"/>
          <w:lang w:val="zh-CN"/>
        </w:rPr>
        <w:t>企业入围预审审核的入围投标方</w:t>
      </w:r>
      <w:r>
        <w:rPr>
          <w:rFonts w:ascii="宋体" w:hAnsi="宋体"/>
          <w:lang w:val="zh-CN"/>
        </w:rPr>
        <w:t>，</w:t>
      </w:r>
      <w:r>
        <w:rPr>
          <w:rFonts w:hint="eastAsia" w:ascii="宋体" w:hAnsi="宋体"/>
        </w:rPr>
        <w:t>按照供应商能力审核评审项目/评分标准的评分标准和计分方法，对其供应商能力项进行评分和计分。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根据商务价格评分标准和计分方法,对其投标报价项进行评分和计分。</w:t>
      </w:r>
    </w:p>
    <w:p>
      <w:pPr>
        <w:pStyle w:val="14"/>
        <w:numPr>
          <w:ilvl w:val="0"/>
          <w:numId w:val="2"/>
        </w:numPr>
        <w:spacing w:line="360" w:lineRule="auto"/>
        <w:ind w:left="0" w:firstLine="480"/>
        <w:rPr>
          <w:rFonts w:hint="eastAsia" w:ascii="宋体" w:hAnsi="宋体"/>
          <w:lang w:val="zh-CN"/>
        </w:rPr>
      </w:pPr>
      <w:r>
        <w:rPr>
          <w:rFonts w:hint="eastAsia" w:ascii="宋体" w:hAnsi="宋体"/>
        </w:rPr>
        <w:t>根据供应商能力项的评分、商务价格项的评分的分配分值权重进行加权计算，计算出评标评审的最终综合评估分数，并按照从高到低依次进行排名，得出评审结果</w:t>
      </w:r>
      <w:bookmarkEnd w:id="9"/>
      <w:r>
        <w:rPr>
          <w:rFonts w:hint="eastAsia" w:ascii="宋体" w:hAnsi="宋体"/>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color w:val="FF0000"/>
          <w:sz w:val="28"/>
          <w:szCs w:val="28"/>
          <w:lang w:val="zh-CN"/>
        </w:rPr>
      </w:pPr>
      <w:r>
        <w:rPr>
          <w:rFonts w:hint="eastAsia" w:ascii="宋体" w:hAnsi="宋体"/>
          <w:b/>
          <w:sz w:val="28"/>
          <w:szCs w:val="28"/>
          <w:lang w:val="zh-CN"/>
        </w:rPr>
        <w:t>评标标准</w:t>
      </w:r>
      <w:r>
        <w:rPr>
          <w:rFonts w:hint="eastAsia" w:ascii="宋体" w:hAnsi="宋体"/>
          <w:b/>
          <w:color w:val="FF0000"/>
          <w:sz w:val="18"/>
          <w:szCs w:val="18"/>
          <w:lang w:val="zh-CN"/>
        </w:rPr>
        <w:t>（各权重为可调整项，由相关部门根据项目情况调整经招标中心审批后确认）</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供应商商务B因素分</w:t>
      </w:r>
      <w:r>
        <w:rPr>
          <w:rFonts w:hint="eastAsia" w:ascii="宋体" w:hAnsi="宋体" w:cs="宋体"/>
          <w:b/>
          <w:lang w:val="zh-CN"/>
        </w:rPr>
        <w:t>F</w:t>
      </w:r>
      <w:r>
        <w:rPr>
          <w:rFonts w:hint="eastAsia" w:ascii="宋体" w:hAnsi="宋体" w:cs="宋体"/>
          <w:b/>
        </w:rPr>
        <w:t>1</w:t>
      </w:r>
      <w:r>
        <w:rPr>
          <w:rFonts w:hint="eastAsia" w:ascii="宋体" w:hAnsi="宋体" w:cs="宋体"/>
          <w:b/>
          <w:color w:val="FF0000"/>
          <w:lang w:val="zh-CN"/>
        </w:rPr>
        <w:t>（满分</w:t>
      </w:r>
      <w:r>
        <w:rPr>
          <w:rFonts w:hint="eastAsia" w:ascii="宋体" w:hAnsi="宋体" w:cs="宋体"/>
          <w:b/>
          <w:color w:val="FF0000"/>
          <w:lang w:val="en-US" w:eastAsia="zh-CN"/>
        </w:rPr>
        <w:t>10</w:t>
      </w:r>
      <w:r>
        <w:rPr>
          <w:rFonts w:hint="eastAsia" w:ascii="宋体" w:hAnsi="宋体" w:cs="宋体"/>
          <w:b/>
          <w:color w:val="FF0000"/>
        </w:rPr>
        <w:t>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lang w:val="zh-CN"/>
        </w:rPr>
      </w:pPr>
      <w:r>
        <w:rPr>
          <w:rFonts w:hint="eastAsia" w:ascii="宋体" w:hAnsi="宋体" w:cs="宋体"/>
          <w:bCs/>
        </w:rPr>
        <w:t>见表一：</w:t>
      </w:r>
      <w:r>
        <w:rPr>
          <w:rFonts w:hint="eastAsia" w:ascii="宋体" w:hAnsi="宋体"/>
          <w:bCs/>
        </w:rPr>
        <w:t>供应商商务B评审</w:t>
      </w:r>
      <w:r>
        <w:rPr>
          <w:rFonts w:hint="eastAsia" w:ascii="宋体" w:hAnsi="宋体" w:cs="宋体"/>
          <w:bCs/>
        </w:rPr>
        <w:t>项目/评分标准,按表一内容及评审分值进行评审。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供应商技术T因素分F2</w:t>
      </w:r>
      <w:r>
        <w:rPr>
          <w:rFonts w:hint="eastAsia" w:ascii="宋体" w:hAnsi="宋体" w:cs="宋体"/>
          <w:b/>
          <w:color w:val="FF0000"/>
          <w:lang w:val="zh-CN"/>
        </w:rPr>
        <w:t>（满分</w:t>
      </w:r>
      <w:r>
        <w:rPr>
          <w:rFonts w:hint="eastAsia" w:ascii="宋体" w:hAnsi="宋体" w:cs="宋体"/>
          <w:b/>
          <w:color w:val="FF0000"/>
          <w:lang w:val="en-US" w:eastAsia="zh-CN"/>
        </w:rPr>
        <w:t>40</w:t>
      </w:r>
      <w:r>
        <w:rPr>
          <w:rFonts w:hint="eastAsia" w:ascii="宋体" w:hAnsi="宋体" w:cs="宋体"/>
          <w:b/>
          <w:color w:val="FF0000"/>
        </w:rPr>
        <w:t>分</w:t>
      </w:r>
      <w:r>
        <w:rPr>
          <w:rFonts w:hint="eastAsia" w:ascii="宋体" w:hAnsi="宋体" w:cs="宋体"/>
          <w:b/>
          <w:color w:val="FF0000"/>
          <w:lang w:val="zh-CN"/>
        </w:rPr>
        <w:t>）</w:t>
      </w:r>
    </w:p>
    <w:p>
      <w:pPr>
        <w:pStyle w:val="14"/>
        <w:spacing w:line="360" w:lineRule="auto"/>
        <w:ind w:firstLine="0" w:firstLineChars="0"/>
        <w:rPr>
          <w:rFonts w:hint="eastAsia" w:ascii="宋体" w:hAnsi="宋体" w:cs="宋体"/>
          <w:bCs/>
        </w:rPr>
      </w:pPr>
      <w:r>
        <w:rPr>
          <w:rFonts w:hint="eastAsia" w:ascii="宋体" w:hAnsi="宋体" w:cs="宋体"/>
          <w:bCs/>
        </w:rPr>
        <w:t>见表二：</w:t>
      </w:r>
      <w:r>
        <w:rPr>
          <w:rFonts w:hint="eastAsia" w:ascii="宋体" w:hAnsi="宋体"/>
          <w:bCs/>
        </w:rPr>
        <w:t>供应商技术T评审</w:t>
      </w:r>
      <w:r>
        <w:rPr>
          <w:rFonts w:hint="eastAsia" w:ascii="宋体" w:hAnsi="宋体" w:cs="宋体"/>
          <w:bCs/>
        </w:rPr>
        <w:t>项目/评分标准,按表二内容及评审分值进行评审。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rPr>
        <w:t>供应商</w:t>
      </w:r>
      <w:r>
        <w:rPr>
          <w:rFonts w:hint="eastAsia" w:ascii="宋体" w:hAnsi="宋体" w:cs="宋体"/>
          <w:b/>
          <w:szCs w:val="20"/>
        </w:rPr>
        <w:t>价格C</w:t>
      </w:r>
      <w:r>
        <w:rPr>
          <w:rFonts w:hint="eastAsia" w:ascii="宋体" w:hAnsi="宋体" w:cs="宋体"/>
          <w:b/>
          <w:szCs w:val="20"/>
          <w:lang w:val="zh-CN"/>
        </w:rPr>
        <w:t>因素分F</w:t>
      </w:r>
      <w:r>
        <w:rPr>
          <w:rFonts w:hint="eastAsia" w:ascii="宋体" w:hAnsi="宋体" w:cs="宋体"/>
          <w:b/>
          <w:szCs w:val="20"/>
        </w:rPr>
        <w:t>3</w:t>
      </w:r>
      <w:r>
        <w:rPr>
          <w:rFonts w:hint="eastAsia" w:ascii="宋体" w:hAnsi="宋体" w:cs="宋体"/>
          <w:b/>
          <w:color w:val="FF0000"/>
          <w:szCs w:val="20"/>
          <w:lang w:val="zh-CN"/>
        </w:rPr>
        <w:t>（满分</w:t>
      </w:r>
      <w:r>
        <w:rPr>
          <w:rFonts w:hint="eastAsia" w:ascii="宋体" w:hAnsi="宋体" w:cs="宋体"/>
          <w:b/>
          <w:color w:val="FF0000"/>
          <w:szCs w:val="20"/>
          <w:lang w:val="en-US" w:eastAsia="zh-CN"/>
        </w:rPr>
        <w:t>50</w:t>
      </w:r>
      <w:r>
        <w:rPr>
          <w:rFonts w:hint="eastAsia" w:ascii="宋体" w:hAnsi="宋体" w:cs="宋体"/>
          <w:b/>
          <w:color w:val="FF0000"/>
          <w:szCs w:val="20"/>
        </w:rPr>
        <w:t>分）</w:t>
      </w:r>
    </w:p>
    <w:p>
      <w:pPr>
        <w:pStyle w:val="14"/>
        <w:spacing w:line="360" w:lineRule="auto"/>
        <w:ind w:firstLine="0" w:firstLineChars="0"/>
        <w:rPr>
          <w:rFonts w:hint="eastAsia" w:ascii="宋体" w:hAnsi="宋体" w:cs="宋体"/>
          <w:bCs/>
        </w:rPr>
      </w:pPr>
      <w:r>
        <w:rPr>
          <w:rFonts w:hint="eastAsia" w:ascii="宋体" w:hAnsi="宋体" w:cs="宋体"/>
          <w:bCs/>
        </w:rPr>
        <w:t>见表三：供应商价格C评审项目/评分标准,按表三内容及评审分值进行评审。</w:t>
      </w:r>
    </w:p>
    <w:p>
      <w:pPr>
        <w:pStyle w:val="14"/>
        <w:numPr>
          <w:ilvl w:val="0"/>
          <w:numId w:val="3"/>
        </w:numPr>
        <w:spacing w:line="360" w:lineRule="auto"/>
        <w:ind w:firstLineChars="0"/>
        <w:outlineLvl w:val="2"/>
        <w:rPr>
          <w:rFonts w:hint="eastAsia" w:ascii="宋体" w:hAnsi="宋体" w:cs="宋体"/>
          <w:b/>
          <w:lang w:val="zh-CN"/>
        </w:rPr>
      </w:pPr>
      <w:r>
        <w:rPr>
          <w:rFonts w:hint="eastAsia" w:ascii="宋体" w:hAnsi="宋体" w:cs="宋体"/>
          <w:b/>
          <w:lang w:val="zh-CN"/>
        </w:rPr>
        <w:t>评标</w:t>
      </w:r>
      <w:r>
        <w:rPr>
          <w:rFonts w:hint="eastAsia" w:ascii="宋体" w:hAnsi="宋体" w:cs="宋体"/>
          <w:b/>
        </w:rPr>
        <w:t>综合</w:t>
      </w:r>
      <w:r>
        <w:rPr>
          <w:rFonts w:hint="eastAsia" w:ascii="宋体" w:hAnsi="宋体" w:cs="宋体"/>
          <w:b/>
          <w:lang w:val="zh-CN"/>
        </w:rPr>
        <w:t>得分汇总</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各部分评分分值分布及评分标准如下:</w:t>
      </w:r>
    </w:p>
    <w:p>
      <w:pPr>
        <w:tabs>
          <w:tab w:val="left" w:pos="0"/>
        </w:tabs>
        <w:spacing w:line="360" w:lineRule="auto"/>
        <w:ind w:firstLine="480" w:firstLineChars="200"/>
        <w:rPr>
          <w:rFonts w:hint="eastAsia" w:ascii="宋体" w:hAnsi="宋体"/>
          <w:kern w:val="0"/>
          <w:sz w:val="24"/>
        </w:rPr>
      </w:pPr>
      <w:r>
        <w:rPr>
          <w:rFonts w:hint="eastAsia" w:ascii="宋体" w:hAnsi="宋体"/>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pPr>
        <w:tabs>
          <w:tab w:val="left" w:pos="0"/>
        </w:tabs>
        <w:spacing w:line="360" w:lineRule="auto"/>
        <w:ind w:firstLine="482" w:firstLineChars="200"/>
        <w:rPr>
          <w:rFonts w:hint="eastAsia" w:ascii="宋体" w:hAnsi="宋体" w:cs="宋体"/>
          <w:b/>
          <w:color w:val="FF0000"/>
          <w:sz w:val="24"/>
          <w:szCs w:val="20"/>
        </w:rPr>
      </w:pPr>
      <w:r>
        <w:rPr>
          <w:rFonts w:hint="eastAsia" w:ascii="宋体" w:hAnsi="宋体"/>
          <w:b/>
          <w:color w:val="FF0000"/>
          <w:sz w:val="24"/>
        </w:rPr>
        <w:t>综合得分＝F1+F2</w:t>
      </w:r>
      <w:r>
        <w:rPr>
          <w:rFonts w:ascii="宋体" w:hAnsi="宋体"/>
          <w:b/>
          <w:color w:val="FF0000"/>
          <w:sz w:val="24"/>
        </w:rPr>
        <w:t>+F3</w:t>
      </w:r>
    </w:p>
    <w:p>
      <w:pPr>
        <w:pStyle w:val="14"/>
        <w:numPr>
          <w:ilvl w:val="0"/>
          <w:numId w:val="3"/>
        </w:numPr>
        <w:tabs>
          <w:tab w:val="left" w:pos="0"/>
        </w:tabs>
        <w:spacing w:line="360" w:lineRule="auto"/>
        <w:ind w:firstLineChars="0"/>
        <w:outlineLvl w:val="2"/>
        <w:rPr>
          <w:rFonts w:hint="eastAsia" w:ascii="宋体" w:hAnsi="宋体" w:cs="宋体"/>
          <w:b/>
          <w:color w:val="FF0000"/>
          <w:szCs w:val="20"/>
        </w:rPr>
      </w:pPr>
      <w:r>
        <w:rPr>
          <w:rFonts w:ascii="宋体" w:hAnsi="宋体" w:cs="宋体"/>
          <w:b/>
          <w:lang w:val="zh-CN"/>
        </w:rPr>
        <w:t>推荐</w:t>
      </w:r>
      <w:r>
        <w:rPr>
          <w:rFonts w:hint="eastAsia" w:ascii="宋体" w:hAnsi="宋体" w:cs="宋体"/>
          <w:b/>
          <w:lang w:val="zh-CN"/>
        </w:rPr>
        <w:t>中标候选人</w:t>
      </w:r>
      <w:r>
        <w:rPr>
          <w:rFonts w:ascii="宋体" w:hAnsi="宋体" w:cs="宋体"/>
          <w:b/>
          <w:lang w:val="zh-CN"/>
        </w:rPr>
        <w:t>名单</w:t>
      </w:r>
    </w:p>
    <w:p>
      <w:pPr>
        <w:spacing w:line="360" w:lineRule="auto"/>
        <w:ind w:firstLine="480" w:firstLineChars="200"/>
        <w:rPr>
          <w:rFonts w:hint="eastAsia" w:ascii="宋体" w:hAnsi="宋体" w:cs="宋体"/>
          <w:b/>
          <w:sz w:val="24"/>
          <w:lang w:val="zh-CN"/>
        </w:rPr>
      </w:pPr>
      <w:r>
        <w:rPr>
          <w:rFonts w:ascii="宋体" w:hAnsi="宋体" w:cs="宋体"/>
          <w:sz w:val="24"/>
        </w:rPr>
        <w:t>1、</w:t>
      </w:r>
      <w:r>
        <w:rPr>
          <w:rFonts w:hint="eastAsia" w:ascii="宋体" w:hAnsi="宋体" w:cs="宋体"/>
          <w:sz w:val="24"/>
        </w:rPr>
        <w:t>项目或各标段的中标候选人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rPr>
        <w:t xml:space="preserve"> </w:t>
      </w:r>
      <w:r>
        <w:rPr>
          <w:rFonts w:hint="eastAsia" w:ascii="宋体" w:hAnsi="宋体" w:cs="宋体"/>
          <w:b/>
          <w:color w:val="0000FF"/>
          <w:sz w:val="24"/>
          <w:u w:val="single"/>
        </w:rPr>
        <w:t xml:space="preserve">3 </w:t>
      </w:r>
      <w:r>
        <w:rPr>
          <w:rFonts w:ascii="宋体" w:hAnsi="宋体" w:cs="宋体"/>
          <w:b/>
          <w:sz w:val="24"/>
          <w:u w:val="single"/>
        </w:rPr>
        <w:t xml:space="preserve"> </w:t>
      </w:r>
      <w:r>
        <w:rPr>
          <w:rFonts w:ascii="宋体" w:hAnsi="宋体" w:cs="宋体"/>
          <w:sz w:val="24"/>
        </w:rPr>
        <w:t>个。</w:t>
      </w:r>
    </w:p>
    <w:p>
      <w:pPr>
        <w:spacing w:line="360" w:lineRule="auto"/>
        <w:ind w:firstLine="480" w:firstLineChars="20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w:t>
      </w:r>
      <w:r>
        <w:rPr>
          <w:rFonts w:hint="eastAsia" w:ascii="宋体" w:hAnsi="宋体" w:cs="宋体"/>
          <w:sz w:val="24"/>
        </w:rPr>
        <w:t>评审</w:t>
      </w:r>
      <w:r>
        <w:rPr>
          <w:rFonts w:ascii="宋体" w:hAnsi="宋体" w:cs="宋体"/>
          <w:sz w:val="24"/>
        </w:rPr>
        <w:t>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w:t>
      </w:r>
      <w:r>
        <w:rPr>
          <w:rFonts w:hint="eastAsia" w:ascii="宋体" w:hAnsi="宋体" w:cs="宋体"/>
          <w:bCs/>
          <w:sz w:val="24"/>
        </w:rPr>
        <w:t>商务报价分项</w:t>
      </w:r>
      <w:r>
        <w:rPr>
          <w:rFonts w:ascii="宋体" w:hAnsi="宋体" w:cs="宋体"/>
          <w:bCs/>
          <w:sz w:val="24"/>
        </w:rPr>
        <w:t>由低到高顺序排列</w:t>
      </w:r>
      <w:r>
        <w:rPr>
          <w:rFonts w:hint="eastAsia" w:ascii="宋体" w:hAnsi="宋体" w:cs="宋体"/>
          <w:bCs/>
          <w:sz w:val="24"/>
        </w:rPr>
        <w:t>；综合</w:t>
      </w:r>
      <w:r>
        <w:rPr>
          <w:rFonts w:ascii="宋体" w:hAnsi="宋体" w:cs="宋体"/>
          <w:bCs/>
          <w:sz w:val="24"/>
        </w:rPr>
        <w:t>得分且</w:t>
      </w:r>
      <w:r>
        <w:rPr>
          <w:rFonts w:hint="eastAsia" w:ascii="宋体" w:hAnsi="宋体" w:cs="宋体"/>
          <w:bCs/>
          <w:sz w:val="24"/>
        </w:rPr>
        <w:t>商务</w:t>
      </w:r>
      <w:r>
        <w:rPr>
          <w:rFonts w:ascii="宋体" w:hAnsi="宋体" w:cs="宋体"/>
          <w:bCs/>
          <w:sz w:val="24"/>
        </w:rPr>
        <w:t>报价相同的，按</w:t>
      </w:r>
      <w:r>
        <w:rPr>
          <w:rFonts w:hint="eastAsia" w:ascii="宋体" w:hAnsi="宋体" w:cs="宋体"/>
          <w:bCs/>
          <w:sz w:val="24"/>
        </w:rPr>
        <w:t>供应商在投标时的注册资本（若有入围预审的，以入围审核</w:t>
      </w:r>
      <w:r>
        <w:rPr>
          <w:rFonts w:ascii="宋体" w:hAnsi="宋体" w:cs="宋体"/>
          <w:bCs/>
          <w:sz w:val="24"/>
        </w:rPr>
        <w:t>得分</w:t>
      </w:r>
      <w:r>
        <w:rPr>
          <w:rFonts w:hint="eastAsia" w:ascii="宋体" w:hAnsi="宋体" w:cs="宋体"/>
          <w:bCs/>
          <w:sz w:val="24"/>
        </w:rPr>
        <w:t>）</w:t>
      </w:r>
      <w:r>
        <w:rPr>
          <w:rFonts w:ascii="宋体" w:hAnsi="宋体" w:cs="宋体"/>
          <w:bCs/>
          <w:sz w:val="24"/>
        </w:rPr>
        <w:t>由高到低顺序排列</w:t>
      </w:r>
      <w:r>
        <w:rPr>
          <w:rFonts w:hint="eastAsia" w:ascii="宋体" w:hAnsi="宋体" w:cs="宋体"/>
          <w:bCs/>
          <w:sz w:val="24"/>
        </w:rPr>
        <w:t>。</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ascii="宋体" w:hAnsi="宋体"/>
          <w:b/>
          <w:sz w:val="28"/>
          <w:szCs w:val="28"/>
          <w:lang w:val="zh-CN"/>
        </w:rPr>
        <w:t>定标原则</w:t>
      </w:r>
    </w:p>
    <w:p>
      <w:pPr>
        <w:spacing w:line="360" w:lineRule="auto"/>
        <w:ind w:firstLine="562" w:firstLineChars="200"/>
        <w:rPr>
          <w:rFonts w:hint="eastAsia" w:ascii="宋体" w:hAnsi="宋体"/>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Pr>
          <w:rFonts w:ascii="宋体" w:hAnsi="宋体"/>
          <w:b/>
          <w:color w:val="FF0000"/>
          <w:sz w:val="28"/>
          <w:szCs w:val="28"/>
          <w:u w:val="single"/>
        </w:rPr>
        <w:t>1</w:t>
      </w:r>
      <w:r>
        <w:rPr>
          <w:rFonts w:ascii="宋体" w:hAnsi="宋体"/>
          <w:b/>
          <w:sz w:val="28"/>
          <w:szCs w:val="28"/>
          <w:u w:val="single"/>
          <w:lang w:val="zh-CN"/>
        </w:rPr>
        <w:t xml:space="preserve"> </w:t>
      </w:r>
      <w:r>
        <w:rPr>
          <w:rFonts w:ascii="宋体" w:hAnsi="宋体"/>
          <w:b/>
          <w:sz w:val="28"/>
          <w:szCs w:val="28"/>
          <w:lang w:val="zh-CN"/>
        </w:rPr>
        <w:t>个。</w:t>
      </w:r>
    </w:p>
    <w:p>
      <w:pPr>
        <w:pStyle w:val="14"/>
        <w:numPr>
          <w:ilvl w:val="1"/>
          <w:numId w:val="2"/>
        </w:numPr>
        <w:spacing w:line="360" w:lineRule="auto"/>
        <w:ind w:left="0" w:firstLine="480"/>
      </w:pPr>
      <w:r>
        <w:rPr>
          <w:rFonts w:hint="eastAsia"/>
        </w:rPr>
        <w:t>招标方根据评标报告向需求公司提报评标评审结果以及招标应用方案，经需求公司审批后确定最终中标人。定标的最终解释权和自主权归属为招标方需求公司。</w:t>
      </w:r>
    </w:p>
    <w:p>
      <w:pPr>
        <w:pStyle w:val="14"/>
        <w:numPr>
          <w:ilvl w:val="1"/>
          <w:numId w:val="2"/>
        </w:numPr>
        <w:spacing w:line="360" w:lineRule="auto"/>
        <w:ind w:left="0" w:firstLine="480"/>
      </w:pPr>
      <w:r>
        <w:rPr>
          <w:rFonts w:hint="eastAsia"/>
        </w:rPr>
        <w:t>如有必要，招标方可自主决定到中标候选人处进行现场确认，根据招标文件要求进行实地评审和确认，投标方应予以配合；对存在投标方实际情况与所投标文件不一致的情况，招标方有权中止招标程序及中标人相应合同，执行启用备选中标人或重新招标。</w:t>
      </w:r>
    </w:p>
    <w:p>
      <w:pPr>
        <w:pStyle w:val="14"/>
        <w:numPr>
          <w:ilvl w:val="1"/>
          <w:numId w:val="2"/>
        </w:numPr>
        <w:spacing w:line="360" w:lineRule="auto"/>
        <w:ind w:left="0" w:firstLine="480"/>
      </w:pPr>
      <w:r>
        <w:rPr>
          <w:rFonts w:hint="eastAsia" w:hAnsi="宋体"/>
        </w:rPr>
        <w:t>在中标人无法通过现场审核或无法正常签订及履行合同的情况下，采购人有权依照中标候选人名单排序顺延其他中标候选人作为中标人或者重新组织招标</w:t>
      </w:r>
      <w:r>
        <w:rPr>
          <w:rFonts w:hint="eastAsia" w:ascii="宋体" w:hAnsi="宋体" w:cs="宋体"/>
        </w:rPr>
        <w:t>。</w:t>
      </w:r>
    </w:p>
    <w:p>
      <w:pPr>
        <w:spacing w:line="360" w:lineRule="auto"/>
        <w:rPr>
          <w:b/>
          <w:bCs/>
          <w:sz w:val="24"/>
          <w:szCs w:val="24"/>
        </w:rPr>
      </w:pPr>
      <w:r>
        <w:rPr>
          <w:b/>
          <w:bCs/>
          <w:sz w:val="24"/>
          <w:szCs w:val="24"/>
        </w:rPr>
        <w:t>投标人参与本项目的投标，即视为同意上述</w:t>
      </w:r>
      <w:r>
        <w:rPr>
          <w:rFonts w:hint="eastAsia"/>
          <w:b/>
          <w:bCs/>
          <w:sz w:val="24"/>
          <w:szCs w:val="24"/>
        </w:rPr>
        <w:t>定标方式。</w:t>
      </w:r>
    </w:p>
    <w:p>
      <w:pPr>
        <w:pStyle w:val="14"/>
        <w:numPr>
          <w:ilvl w:val="0"/>
          <w:numId w:val="1"/>
        </w:numPr>
        <w:spacing w:before="156" w:beforeLines="50" w:after="156" w:afterLines="50" w:line="440" w:lineRule="exact"/>
        <w:ind w:left="442" w:hanging="442" w:firstLineChars="0"/>
        <w:outlineLvl w:val="1"/>
        <w:rPr>
          <w:rFonts w:hint="eastAsia" w:ascii="宋体" w:hAnsi="宋体"/>
          <w:b/>
          <w:sz w:val="28"/>
          <w:szCs w:val="28"/>
          <w:lang w:val="zh-CN"/>
        </w:rPr>
      </w:pPr>
      <w:r>
        <w:rPr>
          <w:rFonts w:hint="eastAsia" w:ascii="宋体" w:hAnsi="宋体"/>
          <w:b/>
          <w:sz w:val="28"/>
          <w:szCs w:val="28"/>
          <w:lang w:val="zh-CN"/>
        </w:rPr>
        <w:t>评审相关及追责</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小组各专家按照依法、客观、公正、审慎的原则，根据招标文件及综合评审法方案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中心可对评审专家的评审数据进行校对、核对，对明显不合实际的畸高、畸低的重大差异评分，可以要求相应的评审专家进行书面说明理由，并提请招标中心复核及采购决策专委会审批，必要时申请原评审小组进行重新评审。</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标后履约管理由招标需求部门或相应采购部门负责；针对中标供应商的商务B、技术T、价格C方面，相应责任部门应建立起有效的合同履行和评价体系，进行有效监管。</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①若为中标人存在弄虚作假、隐瞒欺骗，造成严重的资质、技术、产品质量性能、交付供应、售后服务及其他承诺不履行等问题，将严格追究中标人的责任和造成损失的赔偿；</w:t>
      </w:r>
    </w:p>
    <w:p>
      <w:pPr>
        <w:pStyle w:val="14"/>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若为评审小组评审专家由于自身疏忽、不认真评审、未有效识别、异常评分或错误评标，造成劣质中标厂商导入、侵害其他潜在投标方的合法权益的，将禁止其在一定期限内参加相应招标项目的评标或取消其评标小组成员的资格，相应推荐部门进行通报批评。</w:t>
      </w:r>
    </w:p>
    <w:p>
      <w:pPr>
        <w:pStyle w:val="14"/>
        <w:numPr>
          <w:ilvl w:val="0"/>
          <w:numId w:val="4"/>
        </w:numPr>
        <w:spacing w:line="360" w:lineRule="auto"/>
        <w:ind w:left="0" w:firstLine="480"/>
        <w:rPr>
          <w:rFonts w:hint="eastAsia" w:ascii="宋体" w:hAnsi="宋体"/>
          <w:color w:val="000000" w:themeColor="text1"/>
          <w14:textFill>
            <w14:solidFill>
              <w14:schemeClr w14:val="tx1"/>
            </w14:solidFill>
          </w14:textFill>
        </w:rPr>
        <w:sectPr>
          <w:pgSz w:w="11906" w:h="16838"/>
          <w:pgMar w:top="1418" w:right="1134" w:bottom="851"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000000" w:themeColor="text1"/>
          <w14:textFill>
            <w14:solidFill>
              <w14:schemeClr w14:val="tx1"/>
            </w14:solidFill>
          </w14:textFill>
        </w:rPr>
        <w:t>招标中心可组织对评审小组评标专家的履职情况进行评价，作为年度评标专家考核的依据，视阶段履职考核进行评审活动的劳务报酬、奖励分配及评审资格延续。</w:t>
      </w:r>
    </w:p>
    <w:p>
      <w:pPr>
        <w:spacing w:line="360" w:lineRule="auto"/>
        <w:outlineLvl w:val="2"/>
        <w:rPr>
          <w:rFonts w:hint="eastAsia" w:ascii="宋体" w:hAnsi="宋体" w:eastAsia="宋体"/>
          <w:b/>
          <w:bCs/>
          <w:color w:val="000000" w:themeColor="text1"/>
          <w:sz w:val="24"/>
          <w:szCs w:val="24"/>
          <w:lang w:eastAsia="zh-CN"/>
          <w14:textFill>
            <w14:solidFill>
              <w14:schemeClr w14:val="tx1"/>
            </w14:solidFill>
          </w14:textFill>
        </w:rPr>
      </w:pPr>
      <w:bookmarkStart w:id="10" w:name="_Toc217295097"/>
      <w:r>
        <w:rPr>
          <w:rFonts w:hint="eastAsia" w:ascii="宋体" w:hAnsi="宋体"/>
          <w:b/>
          <w:bCs/>
          <w:color w:val="000000" w:themeColor="text1"/>
          <w:sz w:val="24"/>
          <w:szCs w:val="24"/>
          <w14:textFill>
            <w14:solidFill>
              <w14:schemeClr w14:val="tx1"/>
            </w14:solidFill>
          </w14:textFill>
        </w:rPr>
        <w:t>表一：供应商商务B审核评审项目/评分标准</w:t>
      </w:r>
      <w:bookmarkEnd w:id="10"/>
      <w:r>
        <w:rPr>
          <w:rFonts w:hint="eastAsia" w:ascii="宋体" w:hAnsi="宋体"/>
          <w:b/>
          <w:bCs/>
          <w:color w:val="000000" w:themeColor="text1"/>
          <w:sz w:val="24"/>
          <w:szCs w:val="24"/>
          <w:lang w:eastAsia="zh-CN"/>
          <w14:textFill>
            <w14:solidFill>
              <w14:schemeClr w14:val="tx1"/>
            </w14:solidFill>
          </w14:textFill>
        </w:rPr>
        <w:t>（</w:t>
      </w:r>
      <w:r>
        <w:rPr>
          <w:rFonts w:hint="eastAsia" w:ascii="宋体" w:hAnsi="宋体"/>
          <w:b/>
          <w:bCs/>
          <w:color w:val="000000" w:themeColor="text1"/>
          <w:sz w:val="24"/>
          <w:szCs w:val="24"/>
          <w:lang w:val="en-US" w:eastAsia="zh-CN"/>
          <w14:textFill>
            <w14:solidFill>
              <w14:schemeClr w14:val="tx1"/>
            </w14:solidFill>
          </w14:textFill>
        </w:rPr>
        <w:t>10分</w:t>
      </w:r>
      <w:r>
        <w:rPr>
          <w:rFonts w:hint="eastAsia" w:ascii="宋体" w:hAnsi="宋体"/>
          <w:b/>
          <w:bCs/>
          <w:color w:val="000000" w:themeColor="text1"/>
          <w:sz w:val="24"/>
          <w:szCs w:val="24"/>
          <w:lang w:eastAsia="zh-CN"/>
          <w14:textFill>
            <w14:solidFill>
              <w14:schemeClr w14:val="tx1"/>
            </w14:solidFill>
          </w14:textFill>
        </w:rPr>
        <w:t>）</w:t>
      </w:r>
    </w:p>
    <w:tbl>
      <w:tblPr>
        <w:tblStyle w:val="13"/>
        <w:tblW w:w="143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943"/>
        <w:gridCol w:w="1954"/>
        <w:gridCol w:w="697"/>
        <w:gridCol w:w="10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 w:hRule="atLeast"/>
          <w:jc w:val="center"/>
        </w:trPr>
        <w:tc>
          <w:tcPr>
            <w:tcW w:w="512" w:type="dxa"/>
            <w:shd w:val="clear" w:color="auto" w:fill="D9D9D9"/>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43" w:type="dxa"/>
            <w:shd w:val="clear" w:color="auto" w:fill="D9D9D9"/>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954" w:type="dxa"/>
            <w:shd w:val="clear" w:color="auto" w:fill="D9D9D9"/>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697" w:type="dxa"/>
            <w:shd w:val="clear" w:color="auto" w:fill="D9D9D9"/>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10220" w:type="dxa"/>
            <w:shd w:val="clear" w:color="auto" w:fill="D9D9D9"/>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512" w:type="dxa"/>
            <w:vMerge w:val="restart"/>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1</w:t>
            </w:r>
          </w:p>
        </w:tc>
        <w:tc>
          <w:tcPr>
            <w:tcW w:w="943" w:type="dxa"/>
            <w:vMerge w:val="restart"/>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商务B</w:t>
            </w:r>
          </w:p>
        </w:tc>
        <w:tc>
          <w:tcPr>
            <w:tcW w:w="1954"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both"/>
              <w:rPr>
                <w:rFonts w:hint="eastAsia" w:ascii="宋体" w:hAnsi="宋体" w:cs="宋体"/>
                <w:b/>
                <w:bCs/>
                <w:color w:val="000000"/>
                <w:kern w:val="0"/>
                <w:sz w:val="18"/>
                <w:szCs w:val="18"/>
              </w:rPr>
            </w:pPr>
            <w:r>
              <w:rPr>
                <w:rFonts w:hint="eastAsia" w:ascii="宋体" w:hAnsi="宋体" w:eastAsia="宋体" w:cs="宋体"/>
                <w:b/>
                <w:bCs/>
                <w:color w:val="000000"/>
                <w:kern w:val="0"/>
                <w:sz w:val="18"/>
                <w:szCs w:val="18"/>
                <w:lang w:val="en-US" w:eastAsia="zh-CN" w:bidi="ar"/>
              </w:rPr>
              <w:t>提供本地化服务</w:t>
            </w:r>
          </w:p>
        </w:tc>
        <w:tc>
          <w:tcPr>
            <w:tcW w:w="697"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center"/>
              <w:rPr>
                <w:rFonts w:hint="eastAsia" w:ascii="宋体" w:hAnsi="宋体" w:cs="宋体"/>
                <w:b/>
                <w:bCs/>
                <w:color w:val="FF0000"/>
                <w:kern w:val="0"/>
                <w:sz w:val="18"/>
                <w:szCs w:val="18"/>
              </w:rPr>
            </w:pPr>
            <w:r>
              <w:rPr>
                <w:rFonts w:hint="eastAsia" w:ascii="宋体" w:hAnsi="宋体" w:eastAsia="宋体" w:cs="宋体"/>
                <w:b/>
                <w:bCs/>
                <w:color w:val="FF0000"/>
                <w:kern w:val="0"/>
                <w:sz w:val="18"/>
                <w:szCs w:val="18"/>
                <w:lang w:val="en-US" w:eastAsia="zh-CN" w:bidi="ar"/>
              </w:rPr>
              <w:t>3分</w:t>
            </w:r>
          </w:p>
        </w:tc>
        <w:tc>
          <w:tcPr>
            <w:tcW w:w="10220" w:type="dxa"/>
            <w:vAlign w:val="center"/>
          </w:tcPr>
          <w:p>
            <w:pPr>
              <w:pStyle w:val="30"/>
              <w:widowControl/>
              <w:tabs>
                <w:tab w:val="left" w:pos="312"/>
              </w:tabs>
              <w:spacing w:before="60" w:beforeLines="25" w:beforeAutospacing="0" w:after="36" w:afterLines="15" w:afterAutospacing="0" w:line="300" w:lineRule="auto"/>
              <w:ind w:left="0" w:leftChars="0" w:right="0" w:rightChars="0"/>
              <w:rPr>
                <w:rFonts w:hint="eastAsia" w:ascii="宋体" w:hAnsi="宋体" w:eastAsia="宋体" w:cs="宋体"/>
                <w:b/>
                <w:bCs/>
                <w:color w:val="000000"/>
                <w:kern w:val="0"/>
                <w:sz w:val="18"/>
                <w:szCs w:val="18"/>
              </w:rPr>
            </w:pPr>
            <w:r>
              <w:rPr>
                <w:rFonts w:hint="eastAsia" w:ascii="宋体" w:hAnsi="宋体" w:eastAsia="宋体" w:cs="宋体"/>
                <w:sz w:val="18"/>
                <w:szCs w:val="18"/>
                <w:lang w:val="en-US" w:eastAsia="zh-CN"/>
              </w:rPr>
              <w:t>投标人承诺可</w:t>
            </w:r>
            <w:r>
              <w:rPr>
                <w:rFonts w:hint="eastAsia" w:ascii="宋体" w:hAnsi="宋体" w:eastAsia="宋体" w:cs="宋体"/>
                <w:sz w:val="18"/>
                <w:szCs w:val="18"/>
              </w:rPr>
              <w:t>提供厦门本地化服务的得3分，否则不得分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承诺函格式自拟</w:t>
            </w:r>
            <w:r>
              <w:rPr>
                <w:rFonts w:hint="eastAsia" w:ascii="宋体" w:hAnsi="宋体" w:eastAsia="宋体" w:cs="宋体"/>
                <w:sz w:val="18"/>
                <w:szCs w:val="18"/>
                <w:lang w:eastAsia="zh-CN"/>
              </w:rPr>
              <w:t>）</w:t>
            </w:r>
            <w:r>
              <w:rPr>
                <w:rFonts w:hint="eastAsia" w:ascii="宋体" w:hAnsi="宋体" w:eastAsia="宋体" w:cs="宋体"/>
                <w:sz w:val="18"/>
                <w:szCs w:val="18"/>
              </w:rPr>
              <w:t>。供应商提供自身机构（包括注册设立的项目部、办公室、办事处）的营业执照复印件证明（原件备查）。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 w:hRule="atLeast"/>
          <w:jc w:val="center"/>
        </w:trPr>
        <w:tc>
          <w:tcPr>
            <w:tcW w:w="512"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943"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1954"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both"/>
              <w:rPr>
                <w:rFonts w:hint="eastAsia" w:ascii="宋体" w:hAnsi="宋体" w:cs="宋体"/>
                <w:b/>
                <w:bCs/>
                <w:color w:val="000000"/>
                <w:kern w:val="0"/>
                <w:sz w:val="18"/>
                <w:szCs w:val="18"/>
              </w:rPr>
            </w:pPr>
            <w:r>
              <w:rPr>
                <w:rFonts w:hint="eastAsia" w:ascii="宋体" w:hAnsi="宋体" w:eastAsia="宋体" w:cs="宋体"/>
                <w:b/>
                <w:bCs/>
                <w:kern w:val="0"/>
                <w:sz w:val="18"/>
                <w:szCs w:val="18"/>
                <w:lang w:val="en-US" w:eastAsia="zh-CN" w:bidi="ar"/>
              </w:rPr>
              <w:t>响应时间</w:t>
            </w:r>
          </w:p>
        </w:tc>
        <w:tc>
          <w:tcPr>
            <w:tcW w:w="697"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center"/>
              <w:rPr>
                <w:rFonts w:hint="eastAsia" w:ascii="宋体" w:hAnsi="宋体" w:cs="宋体"/>
                <w:b/>
                <w:bCs/>
                <w:color w:val="000000"/>
                <w:kern w:val="0"/>
                <w:sz w:val="18"/>
                <w:szCs w:val="18"/>
              </w:rPr>
            </w:pPr>
            <w:r>
              <w:rPr>
                <w:rFonts w:hint="eastAsia" w:ascii="宋体" w:hAnsi="宋体" w:eastAsia="宋体" w:cs="宋体"/>
                <w:b/>
                <w:bCs/>
                <w:color w:val="FF0000"/>
                <w:kern w:val="0"/>
                <w:sz w:val="18"/>
                <w:szCs w:val="18"/>
                <w:lang w:val="en-US" w:eastAsia="zh-CN" w:bidi="ar"/>
              </w:rPr>
              <w:t>2分</w:t>
            </w:r>
          </w:p>
        </w:tc>
        <w:tc>
          <w:tcPr>
            <w:tcW w:w="10220" w:type="dxa"/>
            <w:vAlign w:val="center"/>
          </w:tcPr>
          <w:p>
            <w:pPr>
              <w:keepNext w:val="0"/>
              <w:keepLines w:val="0"/>
              <w:widowControl w:val="0"/>
              <w:suppressLineNumbers w:val="0"/>
              <w:spacing w:before="0" w:beforeAutospacing="0" w:after="0" w:afterAutospacing="0" w:line="440" w:lineRule="exact"/>
              <w:ind w:left="0" w:leftChars="0" w:right="0" w:rightChars="0"/>
              <w:jc w:val="both"/>
              <w:rPr>
                <w:rFonts w:hint="eastAsia" w:ascii="宋体" w:hAnsi="宋体" w:eastAsia="宋体" w:cs="宋体"/>
                <w:b/>
                <w:bCs/>
                <w:kern w:val="0"/>
                <w:sz w:val="18"/>
                <w:szCs w:val="18"/>
              </w:rPr>
            </w:pPr>
            <w:r>
              <w:rPr>
                <w:rFonts w:hint="eastAsia" w:ascii="宋体" w:hAnsi="宋体" w:eastAsia="宋体" w:cs="宋体"/>
                <w:kern w:val="2"/>
                <w:sz w:val="18"/>
                <w:szCs w:val="18"/>
                <w:lang w:val="en-US" w:eastAsia="zh-CN" w:bidi="ar"/>
              </w:rPr>
              <w:t>根据投标人承诺的人员到场处理速度进行评价：文件到场处理速度≤1小时得2分；到场处理速度＞1小时并≤2小时得1分；到场处理速度＞2小时及以上的不得分。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 w:hRule="atLeast"/>
          <w:jc w:val="center"/>
        </w:trPr>
        <w:tc>
          <w:tcPr>
            <w:tcW w:w="512"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943"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1954"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both"/>
              <w:rPr>
                <w:rFonts w:hint="eastAsia" w:ascii="宋体" w:hAnsi="宋体" w:cs="宋体"/>
                <w:b/>
                <w:bCs/>
                <w:color w:val="000000"/>
                <w:kern w:val="0"/>
                <w:sz w:val="18"/>
                <w:szCs w:val="18"/>
              </w:rPr>
            </w:pPr>
            <w:r>
              <w:rPr>
                <w:rFonts w:hint="eastAsia" w:ascii="宋体" w:hAnsi="宋体" w:eastAsia="宋体" w:cs="宋体"/>
                <w:b/>
                <w:bCs/>
                <w:kern w:val="0"/>
                <w:sz w:val="18"/>
                <w:szCs w:val="18"/>
                <w:lang w:val="en-US" w:eastAsia="zh-CN" w:bidi="ar"/>
              </w:rPr>
              <w:t>质量体系认证证书</w:t>
            </w:r>
          </w:p>
        </w:tc>
        <w:tc>
          <w:tcPr>
            <w:tcW w:w="697"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center"/>
              <w:rPr>
                <w:rFonts w:hint="eastAsia" w:ascii="宋体" w:hAnsi="宋体" w:cs="宋体"/>
                <w:b/>
                <w:bCs/>
                <w:color w:val="000000"/>
                <w:kern w:val="0"/>
                <w:sz w:val="18"/>
                <w:szCs w:val="18"/>
              </w:rPr>
            </w:pPr>
            <w:r>
              <w:rPr>
                <w:rFonts w:hint="eastAsia" w:ascii="宋体" w:hAnsi="宋体" w:eastAsia="宋体" w:cs="宋体"/>
                <w:b/>
                <w:bCs/>
                <w:color w:val="FF0000"/>
                <w:kern w:val="0"/>
                <w:sz w:val="18"/>
                <w:szCs w:val="18"/>
                <w:lang w:val="en-US" w:eastAsia="zh-CN" w:bidi="ar"/>
              </w:rPr>
              <w:t>1分</w:t>
            </w:r>
          </w:p>
        </w:tc>
        <w:tc>
          <w:tcPr>
            <w:tcW w:w="10220" w:type="dxa"/>
            <w:vAlign w:val="center"/>
          </w:tcPr>
          <w:p>
            <w:pPr>
              <w:pStyle w:val="30"/>
              <w:widowControl/>
              <w:tabs>
                <w:tab w:val="left" w:pos="312"/>
              </w:tabs>
              <w:spacing w:before="60" w:beforeLines="25" w:beforeAutospacing="0" w:after="36" w:afterLines="15" w:afterAutospacing="0" w:line="300" w:lineRule="auto"/>
              <w:ind w:left="0" w:right="0"/>
              <w:rPr>
                <w:rFonts w:hint="eastAsia" w:ascii="宋体" w:hAnsi="宋体" w:eastAsia="宋体" w:cs="宋体"/>
                <w:sz w:val="18"/>
                <w:szCs w:val="18"/>
                <w:lang w:val="en-US"/>
              </w:rPr>
            </w:pPr>
            <w:r>
              <w:rPr>
                <w:rFonts w:hint="eastAsia" w:ascii="宋体" w:hAnsi="宋体" w:eastAsia="宋体" w:cs="宋体"/>
                <w:sz w:val="18"/>
                <w:szCs w:val="18"/>
              </w:rPr>
              <w:t>供应商具有</w:t>
            </w:r>
            <w:r>
              <w:rPr>
                <w:rFonts w:hint="eastAsia" w:ascii="宋体" w:hAnsi="宋体" w:eastAsia="宋体" w:cs="宋体"/>
                <w:sz w:val="18"/>
                <w:szCs w:val="18"/>
                <w:lang w:val="en-US"/>
              </w:rPr>
              <w:t>ISO9001</w:t>
            </w:r>
            <w:r>
              <w:rPr>
                <w:rFonts w:hint="eastAsia" w:ascii="宋体" w:hAnsi="宋体" w:eastAsia="宋体" w:cs="宋体"/>
                <w:sz w:val="18"/>
                <w:szCs w:val="18"/>
              </w:rPr>
              <w:t>质量管理体系认证证书的得</w:t>
            </w:r>
            <w:r>
              <w:rPr>
                <w:rFonts w:hint="eastAsia" w:ascii="宋体" w:hAnsi="宋体" w:eastAsia="宋体" w:cs="宋体"/>
                <w:sz w:val="18"/>
                <w:szCs w:val="18"/>
                <w:lang w:val="en-US"/>
              </w:rPr>
              <w:t>1</w:t>
            </w:r>
            <w:r>
              <w:rPr>
                <w:rFonts w:hint="eastAsia" w:ascii="宋体" w:hAnsi="宋体" w:eastAsia="宋体" w:cs="宋体"/>
                <w:sz w:val="18"/>
                <w:szCs w:val="18"/>
              </w:rPr>
              <w:t>分，需提供至投标截止日仍在有效期内的证书复印件证明并加盖供应商公章。</w:t>
            </w:r>
          </w:p>
          <w:p>
            <w:pPr>
              <w:pStyle w:val="30"/>
              <w:widowControl/>
              <w:tabs>
                <w:tab w:val="left" w:pos="312"/>
              </w:tabs>
              <w:spacing w:before="60" w:beforeLines="25" w:beforeAutospacing="0" w:after="36" w:afterLines="15" w:afterAutospacing="0" w:line="300" w:lineRule="auto"/>
              <w:ind w:left="0" w:leftChars="0" w:right="0" w:rightChars="0"/>
              <w:rPr>
                <w:rFonts w:hint="eastAsia" w:ascii="宋体" w:hAnsi="宋体" w:eastAsia="宋体" w:cs="宋体"/>
                <w:b/>
                <w:bCs/>
                <w:kern w:val="0"/>
                <w:sz w:val="18"/>
                <w:szCs w:val="18"/>
              </w:rPr>
            </w:pPr>
            <w:r>
              <w:rPr>
                <w:rFonts w:hint="eastAsia" w:ascii="宋体" w:hAnsi="宋体" w:eastAsia="宋体" w:cs="宋体"/>
                <w:sz w:val="18"/>
                <w:szCs w:val="18"/>
              </w:rPr>
              <w:t>说明：该证书在中国国家认证认可监督管理委员会</w:t>
            </w:r>
            <w:r>
              <w:rPr>
                <w:rFonts w:hint="eastAsia" w:ascii="宋体" w:hAnsi="宋体" w:eastAsia="宋体" w:cs="宋体"/>
                <w:sz w:val="18"/>
                <w:szCs w:val="18"/>
                <w:lang w:val="en-US"/>
              </w:rPr>
              <w:t>(http</w:t>
            </w:r>
            <w:r>
              <w:rPr>
                <w:rFonts w:hint="eastAsia" w:ascii="宋体" w:hAnsi="宋体" w:eastAsia="宋体" w:cs="宋体"/>
                <w:sz w:val="18"/>
                <w:szCs w:val="18"/>
              </w:rPr>
              <w:t>：</w:t>
            </w:r>
            <w:r>
              <w:rPr>
                <w:rFonts w:hint="eastAsia" w:ascii="宋体" w:hAnsi="宋体" w:eastAsia="宋体" w:cs="宋体"/>
                <w:sz w:val="18"/>
                <w:szCs w:val="18"/>
                <w:lang w:val="en-US"/>
              </w:rPr>
              <w:t>//www.cnca.gov.cn)</w:t>
            </w:r>
            <w:r>
              <w:rPr>
                <w:rFonts w:hint="eastAsia" w:ascii="宋体" w:hAnsi="宋体" w:eastAsia="宋体" w:cs="宋体"/>
                <w:sz w:val="18"/>
                <w:szCs w:val="18"/>
              </w:rPr>
              <w:t>网站可查询，注明查询结果页网址链接，加盖供应商公章，否则该项不得分。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512"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bookmarkStart w:id="11" w:name="_Hlk223250060"/>
          </w:p>
        </w:tc>
        <w:tc>
          <w:tcPr>
            <w:tcW w:w="943"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1954" w:type="dxa"/>
            <w:tcBorders>
              <w:bottom w:val="single" w:color="auto" w:sz="4" w:space="0"/>
            </w:tcBorders>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both"/>
              <w:rPr>
                <w:rFonts w:hint="eastAsia" w:ascii="宋体" w:hAnsi="宋体" w:cs="宋体"/>
                <w:b/>
                <w:bCs/>
                <w:color w:val="000000"/>
                <w:kern w:val="0"/>
                <w:sz w:val="18"/>
                <w:szCs w:val="18"/>
              </w:rPr>
            </w:pPr>
            <w:r>
              <w:rPr>
                <w:rFonts w:hint="eastAsia" w:ascii="宋体" w:hAnsi="宋体" w:eastAsia="宋体" w:cs="宋体"/>
                <w:b/>
                <w:bCs/>
                <w:kern w:val="0"/>
                <w:sz w:val="18"/>
                <w:szCs w:val="18"/>
                <w:lang w:val="en-US" w:eastAsia="zh-CN" w:bidi="ar"/>
              </w:rPr>
              <w:t>组织架构及人员配套</w:t>
            </w:r>
          </w:p>
        </w:tc>
        <w:tc>
          <w:tcPr>
            <w:tcW w:w="697"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center"/>
              <w:rPr>
                <w:rFonts w:hint="eastAsia" w:ascii="宋体" w:hAnsi="宋体" w:cs="宋体"/>
                <w:b/>
                <w:bCs/>
                <w:color w:val="000000"/>
                <w:kern w:val="0"/>
                <w:sz w:val="18"/>
                <w:szCs w:val="18"/>
              </w:rPr>
            </w:pPr>
            <w:r>
              <w:rPr>
                <w:rFonts w:hint="eastAsia" w:ascii="宋体" w:hAnsi="宋体" w:eastAsia="宋体" w:cs="宋体"/>
                <w:b/>
                <w:bCs/>
                <w:color w:val="FF0000"/>
                <w:kern w:val="0"/>
                <w:sz w:val="18"/>
                <w:szCs w:val="18"/>
                <w:lang w:val="en-US" w:eastAsia="zh-CN" w:bidi="ar"/>
              </w:rPr>
              <w:t>1分</w:t>
            </w:r>
          </w:p>
        </w:tc>
        <w:tc>
          <w:tcPr>
            <w:tcW w:w="10220" w:type="dxa"/>
            <w:tcBorders>
              <w:bottom w:val="single" w:color="auto" w:sz="4" w:space="0"/>
            </w:tcBorders>
            <w:vAlign w:val="center"/>
          </w:tcPr>
          <w:p>
            <w:pPr>
              <w:pStyle w:val="30"/>
              <w:widowControl/>
              <w:tabs>
                <w:tab w:val="left" w:pos="312"/>
              </w:tabs>
              <w:spacing w:before="60" w:beforeLines="25" w:beforeAutospacing="0" w:after="36" w:afterLines="15" w:afterAutospacing="0" w:line="300" w:lineRule="auto"/>
              <w:ind w:left="0" w:leftChars="0" w:right="0" w:rightChars="0"/>
              <w:rPr>
                <w:rFonts w:hint="eastAsia" w:ascii="宋体" w:hAnsi="宋体" w:cs="宋体"/>
                <w:b/>
                <w:bCs/>
                <w:color w:val="0000FF"/>
                <w:kern w:val="0"/>
                <w:sz w:val="18"/>
                <w:szCs w:val="18"/>
              </w:rPr>
            </w:pPr>
            <w:r>
              <w:rPr>
                <w:rFonts w:hint="eastAsia" w:ascii="宋体" w:hAnsi="宋体" w:eastAsia="宋体" w:cs="宋体"/>
                <w:sz w:val="18"/>
                <w:szCs w:val="18"/>
              </w:rPr>
              <w:t>供应商提供公司组织架构及项目服务团队核心成员信息（包含但不限于姓名、职位、相关专业、相关专业年限、承接相关项目等）；供应商组织架构规范标准，服务团队成员岗位分工合理、职责明确，满足项目实施需要的，得</w:t>
            </w:r>
            <w:r>
              <w:rPr>
                <w:rFonts w:hint="eastAsia" w:ascii="宋体" w:hAnsi="宋体" w:eastAsia="宋体" w:cs="宋体"/>
                <w:sz w:val="18"/>
                <w:szCs w:val="18"/>
                <w:lang w:val="en-US"/>
              </w:rPr>
              <w:t>1</w:t>
            </w:r>
            <w:r>
              <w:rPr>
                <w:rFonts w:hint="eastAsia" w:ascii="宋体" w:hAnsi="宋体" w:eastAsia="宋体" w:cs="宋体"/>
                <w:sz w:val="18"/>
                <w:szCs w:val="18"/>
              </w:rPr>
              <w:t>分；其它不得分。</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512"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943" w:type="dxa"/>
            <w:vMerge w:val="continue"/>
            <w:tcBorders>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1954" w:type="dxa"/>
            <w:tcBorders>
              <w:top w:val="single" w:color="auto" w:sz="4" w:space="0"/>
              <w:left w:val="single" w:color="auto" w:sz="4" w:space="0"/>
              <w:bottom w:val="single" w:color="auto" w:sz="4" w:space="0"/>
            </w:tcBorders>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both"/>
              <w:rPr>
                <w:rFonts w:hint="eastAsia" w:ascii="宋体" w:hAnsi="宋体" w:cs="宋体"/>
                <w:b/>
                <w:bCs/>
                <w:color w:val="000000"/>
                <w:kern w:val="0"/>
                <w:sz w:val="18"/>
                <w:szCs w:val="18"/>
              </w:rPr>
            </w:pPr>
            <w:r>
              <w:rPr>
                <w:rFonts w:hint="eastAsia" w:ascii="宋体" w:hAnsi="宋体" w:eastAsia="宋体" w:cs="宋体"/>
                <w:b/>
                <w:bCs/>
                <w:color w:val="000000"/>
                <w:kern w:val="0"/>
                <w:sz w:val="18"/>
                <w:szCs w:val="18"/>
                <w:lang w:val="en-US" w:eastAsia="zh-CN" w:bidi="ar"/>
              </w:rPr>
              <w:t>同类业绩证明</w:t>
            </w:r>
          </w:p>
        </w:tc>
        <w:tc>
          <w:tcPr>
            <w:tcW w:w="697"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center"/>
              <w:rPr>
                <w:rFonts w:hint="eastAsia" w:ascii="宋体" w:hAnsi="宋体" w:cs="宋体"/>
                <w:b/>
                <w:bCs/>
                <w:color w:val="000000"/>
                <w:kern w:val="0"/>
                <w:sz w:val="18"/>
                <w:szCs w:val="18"/>
              </w:rPr>
            </w:pPr>
            <w:r>
              <w:rPr>
                <w:rFonts w:hint="eastAsia" w:ascii="宋体" w:hAnsi="宋体" w:eastAsia="宋体" w:cs="宋体"/>
                <w:b/>
                <w:bCs/>
                <w:color w:val="FF0000"/>
                <w:kern w:val="0"/>
                <w:sz w:val="18"/>
                <w:szCs w:val="18"/>
                <w:lang w:val="en-US" w:eastAsia="zh-CN" w:bidi="ar"/>
              </w:rPr>
              <w:t>1分</w:t>
            </w:r>
          </w:p>
        </w:tc>
        <w:tc>
          <w:tcPr>
            <w:tcW w:w="10220" w:type="dxa"/>
            <w:tcBorders>
              <w:top w:val="single" w:color="auto" w:sz="4" w:space="0"/>
              <w:bottom w:val="single" w:color="auto" w:sz="4" w:space="0"/>
              <w:right w:val="single" w:color="auto" w:sz="4" w:space="0"/>
            </w:tcBorders>
            <w:vAlign w:val="center"/>
          </w:tcPr>
          <w:p>
            <w:pPr>
              <w:keepNext w:val="0"/>
              <w:keepLines w:val="0"/>
              <w:widowControl w:val="0"/>
              <w:suppressLineNumbers w:val="0"/>
              <w:spacing w:before="60" w:beforeLines="25" w:beforeAutospacing="0" w:after="36" w:afterLines="15" w:afterAutospacing="0" w:line="300" w:lineRule="auto"/>
              <w:ind w:left="0" w:right="0"/>
              <w:jc w:val="left"/>
              <w:rPr>
                <w:rFonts w:hint="eastAsia" w:ascii="宋体" w:hAnsi="宋体" w:eastAsia="宋体" w:cs="宋体"/>
                <w:color w:val="000000"/>
                <w:sz w:val="18"/>
                <w:szCs w:val="18"/>
                <w:lang w:val="en-US"/>
              </w:rPr>
            </w:pPr>
            <w:r>
              <w:rPr>
                <w:rFonts w:hint="eastAsia" w:ascii="宋体" w:hAnsi="宋体" w:eastAsia="宋体" w:cs="宋体"/>
                <w:color w:val="000000"/>
                <w:sz w:val="18"/>
                <w:szCs w:val="18"/>
              </w:rPr>
              <w:t>供应商提供</w:t>
            </w:r>
            <w:r>
              <w:rPr>
                <w:rFonts w:hint="eastAsia" w:ascii="宋体" w:hAnsi="宋体" w:eastAsia="宋体" w:cs="宋体"/>
                <w:color w:val="000000"/>
                <w:sz w:val="18"/>
                <w:szCs w:val="18"/>
                <w:lang w:val="en-US"/>
              </w:rPr>
              <w:t>2023</w:t>
            </w:r>
            <w:r>
              <w:rPr>
                <w:rFonts w:hint="eastAsia" w:ascii="宋体" w:hAnsi="宋体" w:eastAsia="宋体" w:cs="宋体"/>
                <w:color w:val="000000"/>
                <w:sz w:val="18"/>
                <w:szCs w:val="18"/>
              </w:rPr>
              <w:t>年</w:t>
            </w:r>
            <w:r>
              <w:rPr>
                <w:rFonts w:hint="eastAsia" w:ascii="宋体" w:hAnsi="宋体" w:eastAsia="宋体" w:cs="宋体"/>
                <w:color w:val="000000"/>
                <w:sz w:val="18"/>
                <w:szCs w:val="18"/>
                <w:lang w:val="en-US"/>
              </w:rPr>
              <w:t>1</w:t>
            </w:r>
            <w:r>
              <w:rPr>
                <w:rFonts w:hint="eastAsia" w:ascii="宋体" w:hAnsi="宋体" w:eastAsia="宋体" w:cs="宋体"/>
                <w:color w:val="000000"/>
                <w:sz w:val="18"/>
                <w:szCs w:val="18"/>
              </w:rPr>
              <w:t>月</w:t>
            </w:r>
            <w:r>
              <w:rPr>
                <w:rFonts w:hint="eastAsia" w:ascii="宋体" w:hAnsi="宋体" w:eastAsia="宋体" w:cs="宋体"/>
                <w:color w:val="000000"/>
                <w:sz w:val="18"/>
                <w:szCs w:val="18"/>
                <w:lang w:val="en-US"/>
              </w:rPr>
              <w:t>1</w:t>
            </w:r>
            <w:r>
              <w:rPr>
                <w:rFonts w:hint="eastAsia" w:ascii="宋体" w:hAnsi="宋体" w:eastAsia="宋体" w:cs="宋体"/>
                <w:color w:val="000000"/>
                <w:sz w:val="18"/>
                <w:szCs w:val="18"/>
              </w:rPr>
              <w:t>日至今（以合同签订时间为准）承担过类似项目的有效业绩证明的，得</w:t>
            </w:r>
            <w:r>
              <w:rPr>
                <w:rFonts w:hint="eastAsia" w:ascii="宋体" w:hAnsi="宋体" w:eastAsia="宋体" w:cs="宋体"/>
                <w:color w:val="000000"/>
                <w:sz w:val="18"/>
                <w:szCs w:val="18"/>
                <w:lang w:val="en-US"/>
              </w:rPr>
              <w:t>1</w:t>
            </w:r>
            <w:r>
              <w:rPr>
                <w:rFonts w:hint="eastAsia" w:ascii="宋体" w:hAnsi="宋体" w:eastAsia="宋体" w:cs="宋体"/>
                <w:color w:val="000000"/>
                <w:sz w:val="18"/>
                <w:szCs w:val="18"/>
              </w:rPr>
              <w:t>分。注：业绩的合同金额要求≥人民币</w:t>
            </w:r>
            <w:r>
              <w:rPr>
                <w:rFonts w:hint="eastAsia" w:ascii="宋体" w:hAnsi="宋体" w:eastAsia="宋体" w:cs="宋体"/>
                <w:color w:val="000000"/>
                <w:sz w:val="18"/>
                <w:szCs w:val="18"/>
                <w:lang w:val="en-US"/>
              </w:rPr>
              <w:t>10</w:t>
            </w:r>
            <w:r>
              <w:rPr>
                <w:rFonts w:hint="eastAsia" w:ascii="宋体" w:hAnsi="宋体" w:eastAsia="宋体" w:cs="宋体"/>
                <w:color w:val="000000"/>
                <w:sz w:val="18"/>
                <w:szCs w:val="18"/>
              </w:rPr>
              <w:t>万元，类似项目指供应商承接过计算机信息化系统产品供货或运维服务项目。</w:t>
            </w:r>
          </w:p>
          <w:p>
            <w:pPr>
              <w:pStyle w:val="30"/>
              <w:widowControl/>
              <w:tabs>
                <w:tab w:val="left" w:pos="312"/>
              </w:tabs>
              <w:spacing w:before="60" w:beforeLines="25" w:beforeAutospacing="0" w:after="36" w:afterLines="15" w:afterAutospacing="0" w:line="300" w:lineRule="auto"/>
              <w:ind w:left="0" w:leftChars="0" w:right="0" w:rightChars="0"/>
              <w:rPr>
                <w:rFonts w:hint="eastAsia" w:ascii="宋体" w:hAnsi="宋体" w:cs="宋体"/>
                <w:b/>
                <w:bCs/>
                <w:color w:val="000000"/>
                <w:kern w:val="0"/>
                <w:sz w:val="18"/>
                <w:szCs w:val="18"/>
              </w:rPr>
            </w:pPr>
            <w:r>
              <w:rPr>
                <w:rFonts w:hint="eastAsia" w:ascii="宋体" w:hAnsi="宋体" w:eastAsia="宋体" w:cs="宋体"/>
                <w:color w:val="000000"/>
                <w:sz w:val="18"/>
                <w:szCs w:val="18"/>
              </w:rPr>
              <w:t>有效证明文件包括该业绩的：采购合同文本复印件</w:t>
            </w:r>
            <w:r>
              <w:rPr>
                <w:rFonts w:hint="eastAsia" w:ascii="宋体" w:hAnsi="宋体" w:eastAsia="宋体" w:cs="宋体"/>
                <w:b/>
                <w:bCs w:val="0"/>
                <w:color w:val="000000"/>
                <w:sz w:val="18"/>
                <w:szCs w:val="18"/>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512"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943" w:type="dxa"/>
            <w:vMerge w:val="continue"/>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p>
        </w:tc>
        <w:tc>
          <w:tcPr>
            <w:tcW w:w="1954"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both"/>
              <w:rPr>
                <w:rFonts w:hint="eastAsia" w:ascii="宋体" w:hAnsi="宋体" w:cs="宋体"/>
                <w:b/>
                <w:bCs/>
                <w:color w:val="000000"/>
                <w:kern w:val="0"/>
                <w:sz w:val="18"/>
                <w:szCs w:val="18"/>
              </w:rPr>
            </w:pPr>
            <w:r>
              <w:rPr>
                <w:rFonts w:hint="eastAsia" w:ascii="宋体" w:hAnsi="宋体" w:eastAsia="宋体" w:cs="宋体"/>
                <w:b/>
                <w:bCs/>
                <w:color w:val="000000"/>
                <w:kern w:val="0"/>
                <w:sz w:val="18"/>
                <w:szCs w:val="18"/>
                <w:lang w:val="en-US" w:eastAsia="zh-CN" w:bidi="ar"/>
              </w:rPr>
              <w:t>交付周期</w:t>
            </w:r>
          </w:p>
        </w:tc>
        <w:tc>
          <w:tcPr>
            <w:tcW w:w="697" w:type="dxa"/>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center"/>
              <w:rPr>
                <w:rFonts w:hint="eastAsia" w:ascii="宋体" w:hAnsi="宋体" w:cs="宋体"/>
                <w:b/>
                <w:bCs/>
                <w:color w:val="000000"/>
                <w:kern w:val="0"/>
                <w:sz w:val="18"/>
                <w:szCs w:val="18"/>
              </w:rPr>
            </w:pPr>
            <w:r>
              <w:rPr>
                <w:rFonts w:hint="eastAsia" w:ascii="宋体" w:hAnsi="宋体" w:eastAsia="宋体" w:cs="宋体"/>
                <w:b/>
                <w:bCs/>
                <w:color w:val="FF0000"/>
                <w:kern w:val="0"/>
                <w:sz w:val="18"/>
                <w:szCs w:val="18"/>
                <w:lang w:val="en-US" w:eastAsia="zh-CN" w:bidi="ar"/>
              </w:rPr>
              <w:t>2分</w:t>
            </w:r>
          </w:p>
        </w:tc>
        <w:tc>
          <w:tcPr>
            <w:tcW w:w="10220" w:type="dxa"/>
            <w:vAlign w:val="center"/>
          </w:tcPr>
          <w:p>
            <w:pPr>
              <w:pStyle w:val="30"/>
              <w:widowControl/>
              <w:tabs>
                <w:tab w:val="left" w:pos="312"/>
              </w:tabs>
              <w:spacing w:before="60" w:beforeLines="25" w:beforeAutospacing="0" w:after="36" w:afterLines="15" w:afterAutospacing="0" w:line="300" w:lineRule="auto"/>
              <w:ind w:left="0" w:leftChars="0" w:right="0" w:rightChars="0"/>
              <w:rPr>
                <w:rFonts w:hint="eastAsia" w:ascii="宋体" w:hAnsi="宋体" w:cs="宋体"/>
                <w:b/>
                <w:bCs/>
                <w:color w:val="0000FF"/>
                <w:kern w:val="0"/>
                <w:sz w:val="18"/>
                <w:szCs w:val="18"/>
              </w:rPr>
            </w:pPr>
            <w:r>
              <w:rPr>
                <w:rFonts w:hint="eastAsia" w:ascii="宋体" w:hAnsi="宋体" w:eastAsia="宋体" w:cs="宋体"/>
                <w:sz w:val="18"/>
                <w:szCs w:val="18"/>
              </w:rPr>
              <w:t>供应商提供的项目供货与安装交付周期承诺，早于采购人招标文件中交期保证要求（</w:t>
            </w:r>
            <w:r>
              <w:rPr>
                <w:rFonts w:hint="eastAsia" w:ascii="宋体" w:hAnsi="宋体" w:eastAsia="宋体" w:cs="宋体"/>
                <w:b/>
                <w:bCs w:val="0"/>
                <w:sz w:val="18"/>
                <w:szCs w:val="18"/>
                <w:lang w:val="en-US"/>
              </w:rPr>
              <w:t>35</w:t>
            </w:r>
            <w:r>
              <w:rPr>
                <w:rFonts w:hint="eastAsia" w:ascii="宋体" w:hAnsi="宋体" w:eastAsia="宋体" w:cs="宋体"/>
                <w:sz w:val="18"/>
                <w:szCs w:val="18"/>
              </w:rPr>
              <w:t>日）的，每提前</w:t>
            </w:r>
            <w:r>
              <w:rPr>
                <w:rFonts w:hint="eastAsia" w:ascii="宋体" w:hAnsi="宋体" w:eastAsia="宋体" w:cs="宋体"/>
                <w:sz w:val="18"/>
                <w:szCs w:val="18"/>
                <w:lang w:val="en-US"/>
              </w:rPr>
              <w:t>3</w:t>
            </w:r>
            <w:r>
              <w:rPr>
                <w:rFonts w:hint="eastAsia" w:ascii="宋体" w:hAnsi="宋体" w:eastAsia="宋体" w:cs="宋体"/>
                <w:sz w:val="18"/>
                <w:szCs w:val="18"/>
              </w:rPr>
              <w:t>天得</w:t>
            </w:r>
            <w:r>
              <w:rPr>
                <w:rFonts w:hint="eastAsia" w:ascii="宋体" w:hAnsi="宋体" w:eastAsia="宋体" w:cs="宋体"/>
                <w:sz w:val="18"/>
                <w:szCs w:val="18"/>
                <w:lang w:val="en-US"/>
              </w:rPr>
              <w:t>1</w:t>
            </w:r>
            <w:r>
              <w:rPr>
                <w:rFonts w:hint="eastAsia" w:ascii="宋体" w:hAnsi="宋体" w:eastAsia="宋体" w:cs="宋体"/>
                <w:sz w:val="18"/>
                <w:szCs w:val="18"/>
              </w:rPr>
              <w:t>分，满分</w:t>
            </w:r>
            <w:r>
              <w:rPr>
                <w:rFonts w:hint="eastAsia" w:ascii="宋体" w:hAnsi="宋体" w:eastAsia="宋体" w:cs="宋体"/>
                <w:sz w:val="18"/>
                <w:szCs w:val="18"/>
                <w:lang w:val="en-US"/>
              </w:rPr>
              <w:t>2</w:t>
            </w:r>
            <w:r>
              <w:rPr>
                <w:rFonts w:hint="eastAsia" w:ascii="宋体" w:hAnsi="宋体" w:eastAsia="宋体" w:cs="宋体"/>
                <w:sz w:val="18"/>
                <w:szCs w:val="18"/>
              </w:rPr>
              <w:t>分。</w:t>
            </w:r>
          </w:p>
        </w:tc>
      </w:tr>
    </w:tbl>
    <w:p>
      <w:pPr>
        <w:spacing w:line="360" w:lineRule="auto"/>
        <w:outlineLvl w:val="2"/>
        <w:rPr>
          <w:rFonts w:hint="eastAsia" w:ascii="宋体" w:hAnsi="宋体"/>
          <w:b/>
          <w:bCs/>
          <w:color w:val="0000FF"/>
          <w:sz w:val="24"/>
          <w:szCs w:val="24"/>
        </w:rPr>
        <w:sectPr>
          <w:pgSz w:w="16838" w:h="11906" w:orient="landscape"/>
          <w:pgMar w:top="1134" w:right="1134" w:bottom="851" w:left="1134"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outlineLvl w:val="2"/>
        <w:rPr>
          <w:rFonts w:hint="eastAsia" w:ascii="宋体" w:hAnsi="宋体" w:eastAsia="宋体"/>
          <w:b/>
          <w:bCs/>
          <w:color w:val="0000FF"/>
          <w:sz w:val="24"/>
          <w:szCs w:val="24"/>
          <w:lang w:eastAsia="zh-CN"/>
        </w:rPr>
      </w:pPr>
      <w:r>
        <w:rPr>
          <w:rFonts w:hint="eastAsia" w:ascii="宋体" w:hAnsi="宋体"/>
          <w:b/>
          <w:bCs/>
          <w:color w:val="000000" w:themeColor="text1"/>
          <w:sz w:val="24"/>
          <w:szCs w:val="24"/>
          <w14:textFill>
            <w14:solidFill>
              <w14:schemeClr w14:val="tx1"/>
            </w14:solidFill>
          </w14:textFill>
        </w:rPr>
        <w:t>表二：供应商技术T审核评审项目/评分标准</w:t>
      </w:r>
      <w:r>
        <w:rPr>
          <w:rFonts w:hint="eastAsia" w:ascii="宋体" w:hAnsi="宋体"/>
          <w:b/>
          <w:bCs/>
          <w:color w:val="FF0000"/>
          <w:sz w:val="24"/>
          <w:szCs w:val="24"/>
        </w:rPr>
        <w:t>写</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40分</w:t>
      </w:r>
      <w:r>
        <w:rPr>
          <w:rFonts w:hint="eastAsia" w:ascii="宋体" w:hAnsi="宋体"/>
          <w:b/>
          <w:bCs/>
          <w:color w:val="FF0000"/>
          <w:sz w:val="24"/>
          <w:szCs w:val="24"/>
          <w:lang w:eastAsia="zh-CN"/>
        </w:rPr>
        <w:t>）</w:t>
      </w:r>
    </w:p>
    <w:p>
      <w:pPr>
        <w:keepNext w:val="0"/>
        <w:keepLines w:val="0"/>
        <w:widowControl w:val="0"/>
        <w:suppressLineNumbers w:val="0"/>
        <w:spacing w:before="60" w:beforeLines="25" w:beforeAutospacing="0" w:after="36" w:afterLines="15" w:afterAutospacing="0" w:line="300" w:lineRule="auto"/>
        <w:ind w:right="0"/>
        <w:jc w:val="both"/>
        <w:rPr>
          <w:rFonts w:hint="eastAsia" w:ascii="宋体" w:hAnsi="宋体"/>
          <w:b/>
          <w:bCs/>
          <w:color w:val="0000FF"/>
          <w:szCs w:val="21"/>
        </w:rPr>
      </w:pPr>
      <w:r>
        <w:rPr>
          <w:rFonts w:hint="eastAsia" w:ascii="宋体" w:hAnsi="宋体" w:eastAsia="宋体" w:cs="宋体"/>
          <w:b/>
          <w:bCs/>
          <w:color w:val="FF0000"/>
          <w:kern w:val="2"/>
          <w:sz w:val="24"/>
          <w:szCs w:val="24"/>
          <w:lang w:val="en-US" w:eastAsia="zh-CN" w:bidi="ar"/>
        </w:rPr>
        <w:t>招标文件中带</w:t>
      </w:r>
      <w:bookmarkStart w:id="12" w:name="OLE_LINK128"/>
      <w:r>
        <w:rPr>
          <w:rFonts w:hint="eastAsia" w:ascii="宋体" w:hAnsi="宋体" w:eastAsia="宋体" w:cs="宋体"/>
          <w:b/>
          <w:bCs/>
          <w:color w:val="FF0000"/>
          <w:kern w:val="2"/>
          <w:sz w:val="24"/>
          <w:szCs w:val="24"/>
          <w:lang w:val="en-US" w:eastAsia="zh-CN" w:bidi="ar"/>
        </w:rPr>
        <w:t>“★”</w:t>
      </w:r>
      <w:bookmarkEnd w:id="12"/>
      <w:r>
        <w:rPr>
          <w:rFonts w:hint="eastAsia" w:ascii="宋体" w:hAnsi="宋体" w:eastAsia="宋体" w:cs="宋体"/>
          <w:b/>
          <w:bCs/>
          <w:color w:val="FF0000"/>
          <w:kern w:val="2"/>
          <w:sz w:val="24"/>
          <w:szCs w:val="24"/>
          <w:lang w:val="en-US" w:eastAsia="zh-CN" w:bidi="ar"/>
        </w:rPr>
        <w:t>条款为强制条款，供应商的投标响应文件须对这些强制条款进行响应，凡</w:t>
      </w:r>
      <w:bookmarkStart w:id="13" w:name="OLE_LINK121"/>
      <w:bookmarkStart w:id="14" w:name="OLE_LINK122"/>
      <w:r>
        <w:rPr>
          <w:rFonts w:hint="eastAsia" w:ascii="宋体" w:hAnsi="宋体" w:eastAsia="宋体" w:cs="宋体"/>
          <w:b/>
          <w:bCs/>
          <w:color w:val="FF0000"/>
          <w:kern w:val="2"/>
          <w:sz w:val="24"/>
          <w:szCs w:val="24"/>
          <w:lang w:val="en-US" w:eastAsia="zh-CN" w:bidi="ar"/>
        </w:rPr>
        <w:t>实质性不满足或负偏离的</w:t>
      </w:r>
      <w:bookmarkEnd w:id="13"/>
      <w:bookmarkEnd w:id="14"/>
      <w:r>
        <w:rPr>
          <w:rFonts w:hint="eastAsia" w:ascii="宋体" w:hAnsi="宋体" w:eastAsia="宋体" w:cs="宋体"/>
          <w:b/>
          <w:bCs/>
          <w:color w:val="FF0000"/>
          <w:kern w:val="2"/>
          <w:sz w:val="24"/>
          <w:szCs w:val="24"/>
          <w:lang w:val="en-US" w:eastAsia="zh-CN" w:bidi="ar"/>
        </w:rPr>
        <w:t>，将按无效处理。</w:t>
      </w:r>
    </w:p>
    <w:tbl>
      <w:tblPr>
        <w:tblStyle w:val="13"/>
        <w:tblW w:w="14810" w:type="dxa"/>
        <w:tblInd w:w="113" w:type="dxa"/>
        <w:tblLayout w:type="fixed"/>
        <w:tblCellMar>
          <w:top w:w="0" w:type="dxa"/>
          <w:left w:w="108" w:type="dxa"/>
          <w:bottom w:w="0" w:type="dxa"/>
          <w:right w:w="108" w:type="dxa"/>
        </w:tblCellMar>
      </w:tblPr>
      <w:tblGrid>
        <w:gridCol w:w="465"/>
        <w:gridCol w:w="972"/>
        <w:gridCol w:w="1840"/>
        <w:gridCol w:w="785"/>
        <w:gridCol w:w="10748"/>
      </w:tblGrid>
      <w:tr>
        <w:tblPrEx>
          <w:tblLayout w:type="fixed"/>
          <w:tblCellMar>
            <w:top w:w="0" w:type="dxa"/>
            <w:left w:w="108" w:type="dxa"/>
            <w:bottom w:w="0" w:type="dxa"/>
            <w:right w:w="108" w:type="dxa"/>
          </w:tblCellMar>
        </w:tblPrEx>
        <w:trPr>
          <w:trHeight w:val="20" w:hRule="atLeast"/>
        </w:trPr>
        <w:tc>
          <w:tcPr>
            <w:tcW w:w="46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72"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840" w:type="dxa"/>
            <w:tcBorders>
              <w:top w:val="single" w:color="auto" w:sz="4" w:space="0"/>
              <w:left w:val="nil"/>
              <w:bottom w:val="single" w:color="auto" w:sz="4" w:space="0"/>
              <w:right w:val="single" w:color="auto" w:sz="4" w:space="0"/>
            </w:tcBorders>
            <w:shd w:val="clear" w:color="auto" w:fill="D9D9D9"/>
            <w:vAlign w:val="center"/>
          </w:tcPr>
          <w:p>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785" w:type="dxa"/>
            <w:tcBorders>
              <w:top w:val="single" w:color="auto" w:sz="4" w:space="0"/>
              <w:left w:val="nil"/>
              <w:bottom w:val="single" w:color="auto" w:sz="4" w:space="0"/>
              <w:right w:val="single" w:color="auto" w:sz="4" w:space="0"/>
            </w:tcBorders>
            <w:shd w:val="clear" w:color="auto" w:fill="D9D9D9"/>
            <w:vAlign w:val="center"/>
          </w:tcPr>
          <w:p>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10748" w:type="dxa"/>
            <w:tcBorders>
              <w:top w:val="single" w:color="auto" w:sz="4" w:space="0"/>
              <w:left w:val="nil"/>
              <w:bottom w:val="single" w:color="auto" w:sz="4" w:space="0"/>
              <w:right w:val="single" w:color="auto" w:sz="4" w:space="0"/>
            </w:tcBorders>
            <w:shd w:val="clear" w:color="auto" w:fill="D9D9D9"/>
            <w:vAlign w:val="center"/>
          </w:tcPr>
          <w:p>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资料提供说明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20" w:hRule="atLeast"/>
        </w:trPr>
        <w:tc>
          <w:tcPr>
            <w:tcW w:w="46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default" w:ascii="宋体" w:hAnsi="宋体" w:cs="宋体"/>
                <w:b/>
                <w:bCs/>
                <w:color w:val="000000"/>
                <w:kern w:val="0"/>
                <w:sz w:val="18"/>
                <w:szCs w:val="18"/>
              </w:rPr>
              <w:t>2</w:t>
            </w:r>
          </w:p>
        </w:tc>
        <w:tc>
          <w:tcPr>
            <w:tcW w:w="97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技术T</w:t>
            </w:r>
          </w:p>
        </w:tc>
        <w:tc>
          <w:tcPr>
            <w:tcW w:w="18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both"/>
              <w:rPr>
                <w:rFonts w:hint="eastAsia" w:ascii="宋体" w:hAnsi="宋体" w:cs="宋体"/>
                <w:b/>
                <w:bCs/>
                <w:color w:val="0000FF"/>
                <w:kern w:val="0"/>
                <w:sz w:val="21"/>
                <w:szCs w:val="21"/>
              </w:rPr>
            </w:pPr>
            <w:r>
              <w:rPr>
                <w:rFonts w:hint="eastAsia" w:ascii="Times New Roman" w:hAnsi="宋体" w:eastAsia="宋体" w:cs="宋体"/>
                <w:bCs/>
                <w:color w:val="000000"/>
                <w:kern w:val="0"/>
                <w:sz w:val="21"/>
                <w:szCs w:val="21"/>
                <w:lang w:val="en-US" w:eastAsia="zh-CN" w:bidi="ar"/>
              </w:rPr>
              <w:t>重要技术（服务）条款</w:t>
            </w: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center"/>
              <w:rPr>
                <w:rFonts w:hint="eastAsia" w:ascii="宋体" w:hAnsi="宋体" w:cs="宋体"/>
                <w:b/>
                <w:bCs/>
                <w:color w:val="FF0000"/>
                <w:kern w:val="0"/>
                <w:sz w:val="21"/>
                <w:szCs w:val="21"/>
              </w:rPr>
            </w:pPr>
            <w:r>
              <w:rPr>
                <w:rFonts w:hint="default" w:ascii="Times New Roman" w:hAnsi="Times New Roman" w:eastAsia="宋体" w:cs="Times New Roman"/>
                <w:b/>
                <w:bCs/>
                <w:color w:val="FF0000"/>
                <w:kern w:val="0"/>
                <w:sz w:val="21"/>
                <w:szCs w:val="21"/>
                <w:lang w:val="en-US" w:eastAsia="zh-CN" w:bidi="ar"/>
              </w:rPr>
              <w:t>35</w:t>
            </w:r>
            <w:r>
              <w:rPr>
                <w:rFonts w:hint="eastAsia" w:ascii="Times New Roman" w:hAnsi="宋体" w:eastAsia="宋体" w:cs="宋体"/>
                <w:b/>
                <w:bCs/>
                <w:color w:val="FF0000"/>
                <w:kern w:val="0"/>
                <w:sz w:val="21"/>
                <w:szCs w:val="21"/>
                <w:lang w:val="en-US" w:eastAsia="zh-CN" w:bidi="ar"/>
              </w:rPr>
              <w:t>分</w:t>
            </w:r>
          </w:p>
        </w:tc>
        <w:tc>
          <w:tcPr>
            <w:tcW w:w="10748" w:type="dxa"/>
            <w:tcBorders>
              <w:top w:val="single" w:color="auto" w:sz="4" w:space="0"/>
              <w:left w:val="nil"/>
              <w:bottom w:val="single" w:color="auto" w:sz="4" w:space="0"/>
              <w:right w:val="single" w:color="auto" w:sz="4" w:space="0"/>
            </w:tcBorders>
            <w:vAlign w:val="center"/>
          </w:tcPr>
          <w:p>
            <w:pPr>
              <w:pStyle w:val="30"/>
              <w:tabs>
                <w:tab w:val="left" w:pos="312"/>
              </w:tabs>
              <w:spacing w:before="60" w:beforeLines="25" w:after="36" w:afterLines="15" w:line="300" w:lineRule="auto"/>
              <w:rPr>
                <w:rFonts w:hint="eastAsia" w:ascii="宋体" w:hAnsi="宋体" w:eastAsia="宋体" w:cs="Times New Roman"/>
                <w:kern w:val="0"/>
                <w:sz w:val="21"/>
                <w:szCs w:val="21"/>
                <w:lang w:val="en-US" w:eastAsia="zh-CN" w:bidi="ar"/>
              </w:rPr>
            </w:pPr>
            <w:r>
              <w:rPr>
                <w:rFonts w:hint="eastAsia" w:ascii="宋体" w:hAnsi="宋体" w:eastAsia="宋体" w:cs="Times New Roman"/>
                <w:sz w:val="21"/>
                <w:szCs w:val="21"/>
                <w:lang w:val="en-US" w:eastAsia="zh-CN" w:bidi="ar"/>
              </w:rPr>
              <w:t>对投标人依据附件五提供的响应偏离表进行打分。（</w:t>
            </w:r>
            <w:r>
              <w:rPr>
                <w:rFonts w:ascii="Times New Roman" w:hAnsi="Times New Roman" w:eastAsia="宋体" w:cs="Times New Roman"/>
                <w:sz w:val="21"/>
                <w:szCs w:val="21"/>
                <w:lang w:bidi="ar"/>
              </w:rPr>
              <w:t>▲</w:t>
            </w:r>
            <w:r>
              <w:rPr>
                <w:rFonts w:hint="eastAsia" w:ascii="Times New Roman" w:hAnsi="Times New Roman" w:eastAsia="宋体" w:cs="Times New Roman"/>
                <w:sz w:val="21"/>
                <w:szCs w:val="21"/>
                <w:lang w:val="en-US" w:eastAsia="zh-CN" w:bidi="ar"/>
              </w:rPr>
              <w:t>号条款响应偏离表，格式自拟</w:t>
            </w:r>
            <w:r>
              <w:rPr>
                <w:rFonts w:hint="eastAsia" w:ascii="宋体" w:hAnsi="宋体" w:eastAsia="宋体" w:cs="Times New Roman"/>
                <w:sz w:val="21"/>
                <w:szCs w:val="21"/>
                <w:lang w:val="en-US" w:eastAsia="zh-CN" w:bidi="ar"/>
              </w:rPr>
              <w:t>）</w:t>
            </w:r>
          </w:p>
          <w:p>
            <w:pPr>
              <w:pStyle w:val="9"/>
              <w:keepNext w:val="0"/>
              <w:keepLines w:val="0"/>
              <w:widowControl/>
              <w:suppressLineNumbers w:val="0"/>
              <w:tabs>
                <w:tab w:val="left" w:pos="312"/>
              </w:tabs>
              <w:spacing w:before="60" w:beforeLines="25" w:beforeAutospacing="0" w:after="36" w:afterLines="15" w:afterAutospacing="0" w:line="300" w:lineRule="auto"/>
              <w:ind w:left="0" w:right="0"/>
              <w:jc w:val="left"/>
              <w:rPr>
                <w:rFonts w:hint="default" w:ascii="Times New Roman" w:hAnsi="宋体" w:eastAsia="宋体" w:cs="Times New Roman"/>
                <w:sz w:val="21"/>
                <w:szCs w:val="21"/>
                <w:lang w:val="en-US" w:bidi="ar"/>
              </w:rPr>
            </w:pPr>
            <w:r>
              <w:rPr>
                <w:rFonts w:hint="eastAsia" w:ascii="宋体" w:hAnsi="宋体" w:eastAsia="宋体" w:cs="Times New Roman"/>
                <w:kern w:val="0"/>
                <w:sz w:val="21"/>
                <w:szCs w:val="21"/>
                <w:lang w:val="en-US" w:eastAsia="zh-CN" w:bidi="ar"/>
              </w:rPr>
              <w:t>①依据</w:t>
            </w:r>
            <w:r>
              <w:rPr>
                <w:rFonts w:hint="eastAsia" w:ascii="Times New Roman" w:hAnsi="宋体" w:eastAsia="宋体" w:cs="Times New Roman"/>
                <w:kern w:val="0"/>
                <w:sz w:val="21"/>
                <w:szCs w:val="21"/>
                <w:lang w:val="en-US" w:eastAsia="zh-CN" w:bidi="ar"/>
              </w:rPr>
              <w:t>供应商响应招标文件中技术（服务）要求</w:t>
            </w:r>
            <w:r>
              <w:rPr>
                <w:rFonts w:hint="default" w:ascii="Times New Roman" w:hAnsi="Times New Roman" w:eastAsia="宋体" w:cs="Times New Roman"/>
                <w:kern w:val="0"/>
                <w:sz w:val="21"/>
                <w:szCs w:val="21"/>
                <w:lang w:val="en-US" w:eastAsia="zh-CN" w:bidi="ar"/>
              </w:rPr>
              <w:t>“▲”</w:t>
            </w:r>
            <w:r>
              <w:rPr>
                <w:rFonts w:hint="eastAsia" w:ascii="Times New Roman" w:hAnsi="宋体" w:eastAsia="宋体" w:cs="Times New Roman"/>
                <w:kern w:val="0"/>
                <w:sz w:val="21"/>
                <w:szCs w:val="21"/>
                <w:lang w:val="en-US" w:eastAsia="zh-CN" w:bidi="ar"/>
              </w:rPr>
              <w:t>号条款的情况进行评分，每项不满足或负偏离的扣</w:t>
            </w:r>
            <w:r>
              <w:rPr>
                <w:rFonts w:hint="default" w:ascii="Times New Roman" w:hAnsi="Times New Roman" w:eastAsia="宋体" w:cs="Times New Roman"/>
                <w:kern w:val="0"/>
                <w:sz w:val="21"/>
                <w:szCs w:val="21"/>
                <w:lang w:val="en-US" w:eastAsia="zh-CN" w:bidi="ar"/>
              </w:rPr>
              <w:t>3.5</w:t>
            </w:r>
            <w:r>
              <w:rPr>
                <w:rFonts w:hint="eastAsia" w:ascii="Times New Roman" w:hAnsi="宋体" w:eastAsia="宋体" w:cs="Times New Roman"/>
                <w:kern w:val="0"/>
                <w:sz w:val="21"/>
                <w:szCs w:val="21"/>
                <w:lang w:val="en-US" w:eastAsia="zh-CN" w:bidi="ar"/>
              </w:rPr>
              <w:t>分（合计</w:t>
            </w:r>
            <w:r>
              <w:rPr>
                <w:rFonts w:hint="default" w:ascii="Times New Roman" w:hAnsi="Times New Roman" w:eastAsia="宋体" w:cs="Times New Roman"/>
                <w:kern w:val="0"/>
                <w:sz w:val="21"/>
                <w:szCs w:val="21"/>
                <w:lang w:val="en-US" w:eastAsia="zh-CN" w:bidi="ar"/>
              </w:rPr>
              <w:t>10</w:t>
            </w:r>
            <w:r>
              <w:rPr>
                <w:rFonts w:hint="eastAsia" w:ascii="Times New Roman" w:hAnsi="宋体" w:eastAsia="宋体" w:cs="Times New Roman"/>
                <w:kern w:val="0"/>
                <w:sz w:val="21"/>
                <w:szCs w:val="21"/>
                <w:lang w:val="en-US" w:eastAsia="zh-CN" w:bidi="ar"/>
              </w:rPr>
              <w:t>项、</w:t>
            </w:r>
            <w:r>
              <w:rPr>
                <w:rFonts w:hint="default" w:ascii="Times New Roman" w:hAnsi="Times New Roman" w:eastAsia="宋体" w:cs="Times New Roman"/>
                <w:kern w:val="0"/>
                <w:sz w:val="21"/>
                <w:szCs w:val="21"/>
                <w:lang w:val="en-US" w:eastAsia="zh-CN" w:bidi="ar"/>
              </w:rPr>
              <w:t>35</w:t>
            </w:r>
            <w:r>
              <w:rPr>
                <w:rFonts w:hint="eastAsia" w:ascii="Times New Roman" w:hAnsi="宋体" w:eastAsia="宋体" w:cs="Times New Roman"/>
                <w:kern w:val="0"/>
                <w:sz w:val="21"/>
                <w:szCs w:val="21"/>
                <w:lang w:val="en-US" w:eastAsia="zh-CN" w:bidi="ar"/>
              </w:rPr>
              <w:t>分）；</w:t>
            </w:r>
            <w:r>
              <w:rPr>
                <w:rFonts w:hint="eastAsia" w:ascii="宋体" w:hAnsi="宋体" w:eastAsia="宋体" w:cs="Times New Roman"/>
                <w:kern w:val="0"/>
                <w:sz w:val="21"/>
                <w:szCs w:val="21"/>
                <w:lang w:val="en-US" w:eastAsia="zh-CN" w:bidi="ar"/>
              </w:rPr>
              <w:t>②</w:t>
            </w:r>
            <w:r>
              <w:rPr>
                <w:rFonts w:hint="eastAsia" w:ascii="Times New Roman" w:hAnsi="宋体" w:eastAsia="宋体" w:cs="Times New Roman"/>
                <w:kern w:val="0"/>
                <w:sz w:val="21"/>
                <w:szCs w:val="21"/>
                <w:lang w:val="en-US" w:eastAsia="zh-CN" w:bidi="ar"/>
              </w:rPr>
              <w:t>正偏离不加分。</w:t>
            </w:r>
          </w:p>
          <w:p>
            <w:pPr>
              <w:pStyle w:val="9"/>
              <w:keepNext w:val="0"/>
              <w:keepLines w:val="0"/>
              <w:widowControl/>
              <w:suppressLineNumbers w:val="0"/>
              <w:tabs>
                <w:tab w:val="left" w:pos="312"/>
              </w:tabs>
              <w:spacing w:before="60" w:beforeLines="25" w:beforeAutospacing="0" w:after="36" w:afterLines="15" w:afterAutospacing="0" w:line="300" w:lineRule="auto"/>
              <w:ind w:left="0" w:leftChars="0" w:right="0" w:rightChars="0"/>
              <w:jc w:val="left"/>
              <w:rPr>
                <w:rFonts w:hint="eastAsia" w:ascii="宋体" w:hAnsi="宋体" w:cs="宋体"/>
                <w:b/>
                <w:bCs/>
                <w:color w:val="0000FF"/>
                <w:kern w:val="0"/>
                <w:sz w:val="21"/>
                <w:szCs w:val="21"/>
              </w:rPr>
            </w:pPr>
            <w:r>
              <w:rPr>
                <w:rFonts w:hint="eastAsia" w:ascii="Times New Roman" w:hAnsi="Times New Roman" w:eastAsia="宋体" w:cs="Times New Roman"/>
                <w:b/>
                <w:bCs/>
                <w:kern w:val="0"/>
                <w:sz w:val="21"/>
                <w:szCs w:val="21"/>
                <w:lang w:val="en-US" w:eastAsia="zh-CN" w:bidi="ar"/>
              </w:rPr>
              <w:t>注：依据供应商提交的“技术（服务）参数要求偏离表”、“技术要求响应情况证明材料”进行评分。</w:t>
            </w:r>
          </w:p>
        </w:tc>
      </w:tr>
      <w:tr>
        <w:tblPrEx>
          <w:tblLayout w:type="fixed"/>
          <w:tblCellMar>
            <w:top w:w="0" w:type="dxa"/>
            <w:left w:w="108" w:type="dxa"/>
            <w:bottom w:w="0" w:type="dxa"/>
            <w:right w:w="108" w:type="dxa"/>
          </w:tblCellMar>
        </w:tblPrEx>
        <w:trPr>
          <w:trHeight w:val="20" w:hRule="atLeast"/>
        </w:trPr>
        <w:tc>
          <w:tcPr>
            <w:tcW w:w="4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cs="宋体"/>
                <w:b/>
                <w:bCs/>
                <w:color w:val="000000"/>
                <w:kern w:val="0"/>
                <w:sz w:val="18"/>
                <w:szCs w:val="18"/>
              </w:rPr>
            </w:pPr>
          </w:p>
        </w:tc>
        <w:tc>
          <w:tcPr>
            <w:tcW w:w="1840" w:type="dxa"/>
            <w:tcBorders>
              <w:top w:val="nil"/>
              <w:left w:val="nil"/>
              <w:bottom w:val="single" w:color="auto" w:sz="4" w:space="0"/>
              <w:right w:val="single" w:color="auto" w:sz="4" w:space="0"/>
            </w:tcBorders>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both"/>
              <w:rPr>
                <w:rFonts w:hint="eastAsia" w:ascii="宋体" w:hAnsi="宋体" w:cs="宋体"/>
                <w:b/>
                <w:bCs/>
                <w:color w:val="0000FF"/>
                <w:kern w:val="0"/>
                <w:sz w:val="21"/>
                <w:szCs w:val="21"/>
              </w:rPr>
            </w:pPr>
            <w:r>
              <w:rPr>
                <w:rFonts w:hint="eastAsia" w:ascii="Times New Roman" w:hAnsi="宋体" w:eastAsia="宋体" w:cs="宋体"/>
                <w:bCs/>
                <w:color w:val="000000"/>
                <w:kern w:val="0"/>
                <w:sz w:val="21"/>
                <w:szCs w:val="21"/>
                <w:lang w:val="en-US" w:eastAsia="zh-CN" w:bidi="ar"/>
              </w:rPr>
              <w:t>其它技术（服务）条款</w:t>
            </w: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60" w:beforeLines="25" w:beforeAutospacing="0" w:after="36" w:afterLines="15" w:afterAutospacing="0" w:line="300" w:lineRule="auto"/>
              <w:ind w:left="0" w:leftChars="0" w:right="0" w:rightChars="0"/>
              <w:jc w:val="center"/>
              <w:rPr>
                <w:rFonts w:hint="eastAsia" w:ascii="宋体" w:hAnsi="宋体" w:cs="宋体"/>
                <w:b/>
                <w:bCs/>
                <w:color w:val="000000"/>
                <w:kern w:val="0"/>
                <w:sz w:val="21"/>
                <w:szCs w:val="21"/>
              </w:rPr>
            </w:pPr>
            <w:r>
              <w:rPr>
                <w:rFonts w:hint="default" w:ascii="Times New Roman" w:hAnsi="Times New Roman" w:eastAsia="宋体" w:cs="Times New Roman"/>
                <w:b/>
                <w:bCs/>
                <w:color w:val="FF0000"/>
                <w:kern w:val="0"/>
                <w:sz w:val="21"/>
                <w:szCs w:val="21"/>
                <w:lang w:val="en-US" w:eastAsia="zh-CN" w:bidi="ar"/>
              </w:rPr>
              <w:t>5</w:t>
            </w:r>
            <w:r>
              <w:rPr>
                <w:rFonts w:hint="eastAsia" w:ascii="Times New Roman" w:hAnsi="宋体" w:eastAsia="宋体" w:cs="宋体"/>
                <w:b/>
                <w:bCs/>
                <w:color w:val="FF0000"/>
                <w:kern w:val="0"/>
                <w:sz w:val="21"/>
                <w:szCs w:val="21"/>
                <w:lang w:val="en-US" w:eastAsia="zh-CN" w:bidi="ar"/>
              </w:rPr>
              <w:t>分</w:t>
            </w:r>
          </w:p>
        </w:tc>
        <w:tc>
          <w:tcPr>
            <w:tcW w:w="10748" w:type="dxa"/>
            <w:tcBorders>
              <w:top w:val="nil"/>
              <w:left w:val="nil"/>
              <w:bottom w:val="single" w:color="auto" w:sz="4" w:space="0"/>
              <w:right w:val="single" w:color="auto" w:sz="4" w:space="0"/>
            </w:tcBorders>
            <w:vAlign w:val="center"/>
          </w:tcPr>
          <w:p>
            <w:pPr>
              <w:pStyle w:val="30"/>
              <w:tabs>
                <w:tab w:val="left" w:pos="312"/>
              </w:tabs>
              <w:spacing w:before="60" w:beforeLines="25" w:after="36" w:afterLines="15" w:line="300" w:lineRule="auto"/>
              <w:rPr>
                <w:rFonts w:hint="eastAsia" w:ascii="宋体" w:hAnsi="宋体" w:eastAsia="宋体" w:cs="Times New Roman"/>
                <w:sz w:val="21"/>
                <w:szCs w:val="21"/>
                <w:lang w:val="en-US" w:bidi="ar"/>
              </w:rPr>
            </w:pPr>
            <w:r>
              <w:rPr>
                <w:rFonts w:hint="eastAsia" w:ascii="宋体" w:hAnsi="宋体" w:eastAsia="宋体" w:cs="Times New Roman"/>
                <w:sz w:val="21"/>
                <w:szCs w:val="21"/>
                <w:lang w:val="en-US" w:eastAsia="zh-CN" w:bidi="ar"/>
              </w:rPr>
              <w:t>对投标人依据附件五提供的响应偏离表进行打分。（非</w:t>
            </w:r>
            <w:r>
              <w:rPr>
                <w:rFonts w:ascii="Times New Roman" w:hAnsi="Times New Roman" w:eastAsia="宋体" w:cs="Times New Roman"/>
                <w:sz w:val="21"/>
                <w:szCs w:val="21"/>
                <w:lang w:bidi="ar"/>
              </w:rPr>
              <w:t>▲</w:t>
            </w:r>
            <w:r>
              <w:rPr>
                <w:rFonts w:hint="eastAsia" w:ascii="Times New Roman" w:hAnsi="Times New Roman" w:eastAsia="宋体" w:cs="Times New Roman"/>
                <w:sz w:val="21"/>
                <w:szCs w:val="21"/>
                <w:lang w:val="en-US" w:eastAsia="zh-CN" w:bidi="ar"/>
              </w:rPr>
              <w:t>号条款响应偏离表，格式自拟</w:t>
            </w:r>
            <w:r>
              <w:rPr>
                <w:rFonts w:hint="eastAsia" w:ascii="宋体" w:hAnsi="宋体" w:eastAsia="宋体" w:cs="Times New Roman"/>
                <w:sz w:val="21"/>
                <w:szCs w:val="21"/>
                <w:lang w:val="en-US" w:eastAsia="zh-CN" w:bidi="ar"/>
              </w:rPr>
              <w:t>）</w:t>
            </w:r>
            <w:bookmarkStart w:id="18" w:name="_GoBack"/>
            <w:bookmarkEnd w:id="18"/>
          </w:p>
          <w:p>
            <w:pPr>
              <w:pStyle w:val="9"/>
              <w:keepNext w:val="0"/>
              <w:keepLines w:val="0"/>
              <w:widowControl/>
              <w:suppressLineNumbers w:val="0"/>
              <w:tabs>
                <w:tab w:val="left" w:pos="312"/>
              </w:tabs>
              <w:spacing w:before="60" w:beforeLines="25" w:beforeAutospacing="0" w:after="36" w:afterLines="15" w:afterAutospacing="0" w:line="300" w:lineRule="auto"/>
              <w:ind w:left="0" w:right="0"/>
              <w:jc w:val="left"/>
              <w:rPr>
                <w:rFonts w:hint="default" w:ascii="Times New Roman" w:hAnsi="宋体" w:eastAsia="宋体" w:cs="Times New Roman"/>
                <w:sz w:val="21"/>
                <w:szCs w:val="21"/>
                <w:lang w:val="en-US" w:bidi="ar"/>
              </w:rPr>
            </w:pPr>
            <w:r>
              <w:rPr>
                <w:rFonts w:hint="eastAsia" w:ascii="宋体" w:hAnsi="宋体" w:eastAsia="宋体" w:cs="Times New Roman"/>
                <w:sz w:val="21"/>
                <w:szCs w:val="21"/>
                <w:lang w:val="en-US" w:bidi="ar"/>
              </w:rPr>
              <w:t>①</w:t>
            </w:r>
            <w:r>
              <w:rPr>
                <w:rFonts w:hint="eastAsia" w:ascii="宋体" w:hAnsi="宋体" w:eastAsia="宋体" w:cs="Times New Roman"/>
                <w:sz w:val="21"/>
                <w:szCs w:val="21"/>
                <w:lang w:bidi="ar"/>
              </w:rPr>
              <w:t>依据</w:t>
            </w:r>
            <w:r>
              <w:rPr>
                <w:rFonts w:hint="eastAsia" w:ascii="Times New Roman" w:hAnsi="宋体" w:eastAsia="宋体" w:cs="Times New Roman"/>
                <w:sz w:val="21"/>
                <w:szCs w:val="21"/>
                <w:lang w:bidi="ar"/>
              </w:rPr>
              <w:t>供应商响应招标文件中技术（服务）要求的其它条款（非</w:t>
            </w:r>
            <w:r>
              <w:rPr>
                <w:rFonts w:hint="default" w:ascii="Times New Roman" w:hAnsi="Times New Roman" w:eastAsia="宋体" w:cs="Times New Roman"/>
                <w:sz w:val="21"/>
                <w:szCs w:val="21"/>
                <w:lang w:val="en-US"/>
              </w:rPr>
              <w:t>“</w:t>
            </w:r>
            <w:r>
              <w:rPr>
                <w:rFonts w:hint="eastAsia" w:ascii="宋体" w:hAnsi="宋体" w:eastAsia="宋体" w:cs="Times New Roman"/>
                <w:sz w:val="21"/>
                <w:szCs w:val="21"/>
                <w:lang w:val="en-US"/>
              </w:rPr>
              <w:t>★</w:t>
            </w:r>
            <w:r>
              <w:rPr>
                <w:rFonts w:hint="default" w:ascii="Times New Roman" w:hAnsi="Times New Roman" w:eastAsia="宋体" w:cs="Times New Roman"/>
                <w:sz w:val="21"/>
                <w:szCs w:val="21"/>
                <w:lang w:val="en-US"/>
              </w:rPr>
              <w:t>”</w:t>
            </w:r>
            <w:r>
              <w:rPr>
                <w:rFonts w:hint="eastAsia" w:ascii="Times New Roman" w:hAnsi="Times New Roman" w:eastAsia="宋体" w:cs="Times New Roman"/>
                <w:sz w:val="21"/>
                <w:szCs w:val="21"/>
              </w:rPr>
              <w:t>、</w:t>
            </w:r>
            <w:r>
              <w:rPr>
                <w:rFonts w:hint="default" w:ascii="Times New Roman" w:hAnsi="Times New Roman" w:eastAsia="宋体" w:cs="Times New Roman"/>
                <w:sz w:val="21"/>
                <w:szCs w:val="21"/>
                <w:lang w:val="en-US" w:bidi="ar"/>
              </w:rPr>
              <w:t>“▲”</w:t>
            </w:r>
            <w:r>
              <w:rPr>
                <w:rFonts w:hint="eastAsia" w:ascii="Times New Roman" w:hAnsi="宋体" w:eastAsia="宋体" w:cs="Times New Roman"/>
                <w:sz w:val="21"/>
                <w:szCs w:val="21"/>
                <w:lang w:bidi="ar"/>
              </w:rPr>
              <w:t>条款）的情况评分，每项不满足或负偏离的，扣</w:t>
            </w:r>
            <w:r>
              <w:rPr>
                <w:rFonts w:hint="default" w:ascii="Times New Roman" w:hAnsi="Times New Roman" w:eastAsia="宋体" w:cs="Times New Roman"/>
                <w:sz w:val="21"/>
                <w:szCs w:val="21"/>
                <w:lang w:val="en-US" w:bidi="ar"/>
              </w:rPr>
              <w:t>1</w:t>
            </w:r>
            <w:r>
              <w:rPr>
                <w:rFonts w:hint="eastAsia" w:ascii="Times New Roman" w:hAnsi="宋体" w:eastAsia="宋体" w:cs="Times New Roman"/>
                <w:sz w:val="21"/>
                <w:szCs w:val="21"/>
                <w:lang w:bidi="ar"/>
              </w:rPr>
              <w:t>分（合计</w:t>
            </w:r>
            <w:r>
              <w:rPr>
                <w:rFonts w:hint="default" w:ascii="Times New Roman" w:hAnsi="Times New Roman" w:eastAsia="宋体" w:cs="Times New Roman"/>
                <w:sz w:val="21"/>
                <w:szCs w:val="21"/>
                <w:lang w:val="en-US" w:bidi="ar"/>
              </w:rPr>
              <w:t>5</w:t>
            </w:r>
            <w:r>
              <w:rPr>
                <w:rFonts w:hint="eastAsia" w:ascii="Times New Roman" w:hAnsi="宋体" w:eastAsia="宋体" w:cs="Times New Roman"/>
                <w:sz w:val="21"/>
                <w:szCs w:val="21"/>
                <w:lang w:bidi="ar"/>
              </w:rPr>
              <w:t>分，扣完为止）；</w:t>
            </w:r>
            <w:r>
              <w:rPr>
                <w:rFonts w:hint="eastAsia" w:ascii="宋体" w:hAnsi="宋体" w:eastAsia="宋体" w:cs="Times New Roman"/>
                <w:sz w:val="21"/>
                <w:szCs w:val="21"/>
                <w:lang w:val="en-US" w:bidi="ar"/>
              </w:rPr>
              <w:t>②</w:t>
            </w:r>
            <w:r>
              <w:rPr>
                <w:rFonts w:hint="eastAsia" w:ascii="Times New Roman" w:hAnsi="宋体" w:eastAsia="宋体" w:cs="Times New Roman"/>
                <w:sz w:val="21"/>
                <w:szCs w:val="21"/>
                <w:lang w:bidi="ar"/>
              </w:rPr>
              <w:t>正偏离不加分。</w:t>
            </w:r>
          </w:p>
          <w:p>
            <w:pPr>
              <w:pStyle w:val="9"/>
              <w:keepNext w:val="0"/>
              <w:keepLines w:val="0"/>
              <w:widowControl/>
              <w:suppressLineNumbers w:val="0"/>
              <w:tabs>
                <w:tab w:val="left" w:pos="312"/>
              </w:tabs>
              <w:spacing w:before="60" w:beforeLines="25" w:beforeAutospacing="0" w:after="36" w:afterLines="15" w:afterAutospacing="0" w:line="300" w:lineRule="auto"/>
              <w:ind w:left="0" w:leftChars="0" w:right="0" w:rightChars="0"/>
              <w:jc w:val="left"/>
              <w:rPr>
                <w:rFonts w:hint="eastAsia" w:ascii="宋体" w:hAnsi="宋体" w:cs="宋体"/>
                <w:b/>
                <w:bCs/>
                <w:color w:val="FF0000"/>
                <w:kern w:val="0"/>
                <w:sz w:val="21"/>
                <w:szCs w:val="21"/>
              </w:rPr>
            </w:pPr>
            <w:r>
              <w:rPr>
                <w:rFonts w:hint="eastAsia" w:ascii="Times New Roman" w:hAnsi="Times New Roman" w:eastAsia="宋体" w:cs="Times New Roman"/>
                <w:b/>
                <w:bCs/>
                <w:kern w:val="0"/>
                <w:sz w:val="21"/>
                <w:szCs w:val="21"/>
                <w:lang w:val="en-US" w:eastAsia="zh-CN" w:bidi="ar"/>
              </w:rPr>
              <w:t>注：依据供应商提交的“技术（服务）参数要求偏离表”、“技术要求响应情况证明材料”进行评分。</w:t>
            </w:r>
          </w:p>
        </w:tc>
      </w:tr>
    </w:tbl>
    <w:p>
      <w:pPr>
        <w:rPr>
          <w:rFonts w:hint="eastAsia" w:ascii="宋体" w:hAnsi="宋体"/>
          <w:b/>
          <w:bCs/>
          <w:color w:val="FF0000"/>
          <w:sz w:val="24"/>
          <w:szCs w:val="24"/>
        </w:rPr>
      </w:pPr>
    </w:p>
    <w:p>
      <w:pPr>
        <w:widowControl/>
        <w:spacing w:line="360" w:lineRule="auto"/>
        <w:jc w:val="left"/>
        <w:outlineLvl w:val="2"/>
        <w:rPr>
          <w:rFonts w:hint="eastAsia" w:ascii="宋体" w:hAnsi="宋体"/>
          <w:b/>
          <w:bCs/>
          <w:color w:val="0000FF"/>
          <w:sz w:val="24"/>
          <w:szCs w:val="24"/>
        </w:rPr>
        <w:sectPr>
          <w:pgSz w:w="16838" w:h="11906" w:orient="landscape"/>
          <w:pgMar w:top="1134" w:right="1134" w:bottom="851" w:left="1134" w:header="851" w:footer="992" w:gutter="0"/>
          <w:pgBorders>
            <w:top w:val="none" w:sz="0" w:space="0"/>
            <w:left w:val="none" w:sz="0" w:space="0"/>
            <w:bottom w:val="none" w:sz="0" w:space="0"/>
            <w:right w:val="none" w:sz="0" w:space="0"/>
          </w:pgBorders>
          <w:cols w:space="425" w:num="1"/>
          <w:docGrid w:type="lines" w:linePitch="312" w:charSpace="0"/>
        </w:sectPr>
      </w:pPr>
      <w:bookmarkStart w:id="15" w:name="_Toc217295098"/>
    </w:p>
    <w:p>
      <w:pPr>
        <w:widowControl/>
        <w:spacing w:line="360" w:lineRule="auto"/>
        <w:jc w:val="left"/>
        <w:outlineLvl w:val="2"/>
        <w:rPr>
          <w:rFonts w:hint="eastAsia" w:ascii="宋体" w:hAnsi="宋体" w:eastAsia="宋体"/>
          <w:b/>
          <w:bCs/>
          <w:color w:val="0000FF"/>
          <w:sz w:val="24"/>
          <w:szCs w:val="24"/>
          <w:lang w:eastAsia="zh-CN"/>
        </w:rPr>
      </w:pPr>
      <w:bookmarkStart w:id="16" w:name="OLE_LINK11"/>
      <w:r>
        <w:rPr>
          <w:rFonts w:hint="eastAsia" w:ascii="宋体" w:hAnsi="宋体"/>
          <w:b/>
          <w:bCs/>
          <w:color w:val="000000" w:themeColor="text1"/>
          <w:sz w:val="24"/>
          <w:szCs w:val="24"/>
          <w14:textFill>
            <w14:solidFill>
              <w14:schemeClr w14:val="tx1"/>
            </w14:solidFill>
          </w14:textFill>
        </w:rPr>
        <w:t>表三：供应商价格C评审项目/评分标准</w:t>
      </w:r>
      <w:bookmarkEnd w:id="15"/>
      <w:bookmarkEnd w:id="16"/>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50分</w:t>
      </w:r>
      <w:r>
        <w:rPr>
          <w:rFonts w:hint="eastAsia" w:ascii="宋体" w:hAnsi="宋体"/>
          <w:b/>
          <w:bCs/>
          <w:color w:val="FF0000"/>
          <w:sz w:val="24"/>
          <w:szCs w:val="24"/>
          <w:lang w:eastAsia="zh-CN"/>
        </w:rPr>
        <w:t>）</w:t>
      </w:r>
    </w:p>
    <w:tbl>
      <w:tblPr>
        <w:tblStyle w:val="13"/>
        <w:tblpPr w:leftFromText="180" w:rightFromText="180" w:vertAnchor="page" w:horzAnchor="margin" w:tblpY="1891"/>
        <w:tblW w:w="12895" w:type="dxa"/>
        <w:tblInd w:w="0" w:type="dxa"/>
        <w:tblLayout w:type="fixed"/>
        <w:tblCellMar>
          <w:top w:w="0" w:type="dxa"/>
          <w:left w:w="108" w:type="dxa"/>
          <w:bottom w:w="0" w:type="dxa"/>
          <w:right w:w="108" w:type="dxa"/>
        </w:tblCellMar>
      </w:tblPr>
      <w:tblGrid>
        <w:gridCol w:w="516"/>
        <w:gridCol w:w="946"/>
        <w:gridCol w:w="1865"/>
        <w:gridCol w:w="800"/>
        <w:gridCol w:w="5065"/>
        <w:gridCol w:w="3703"/>
      </w:tblGrid>
      <w:tr>
        <w:tblPrEx>
          <w:tblLayout w:type="fixed"/>
          <w:tblCellMar>
            <w:top w:w="0" w:type="dxa"/>
            <w:left w:w="108" w:type="dxa"/>
            <w:bottom w:w="0" w:type="dxa"/>
            <w:right w:w="108" w:type="dxa"/>
          </w:tblCellMar>
        </w:tblPrEx>
        <w:trPr>
          <w:trHeight w:val="19" w:hRule="atLeast"/>
        </w:trPr>
        <w:tc>
          <w:tcPr>
            <w:tcW w:w="516"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序</w:t>
            </w:r>
          </w:p>
        </w:tc>
        <w:tc>
          <w:tcPr>
            <w:tcW w:w="946"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评审方向</w:t>
            </w:r>
          </w:p>
        </w:tc>
        <w:tc>
          <w:tcPr>
            <w:tcW w:w="1865"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评审内容</w:t>
            </w:r>
          </w:p>
        </w:tc>
        <w:tc>
          <w:tcPr>
            <w:tcW w:w="800"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分值占比</w:t>
            </w:r>
          </w:p>
        </w:tc>
        <w:tc>
          <w:tcPr>
            <w:tcW w:w="5065" w:type="dxa"/>
            <w:tcBorders>
              <w:top w:val="single" w:color="auto" w:sz="4" w:space="0"/>
              <w:left w:val="nil"/>
              <w:bottom w:val="single" w:color="auto" w:sz="4" w:space="0"/>
              <w:right w:val="single" w:color="auto" w:sz="4" w:space="0"/>
            </w:tcBorders>
            <w:shd w:val="clear" w:color="auto" w:fill="D9D9D9"/>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评审标准</w:t>
            </w:r>
          </w:p>
          <w:p>
            <w:pPr>
              <w:keepNext w:val="0"/>
              <w:keepLines w:val="0"/>
              <w:widowControl/>
              <w:suppressLineNumbers w:val="0"/>
              <w:spacing w:before="0" w:beforeAutospacing="0" w:after="0" w:afterAutospacing="0" w:line="200" w:lineRule="exact"/>
              <w:ind w:left="0" w:right="0"/>
              <w:jc w:val="center"/>
              <w:rPr>
                <w:rFonts w:hint="eastAsia" w:ascii="宋体" w:hAnsi="宋体" w:cs="宋体"/>
                <w:b/>
                <w:bCs/>
                <w:color w:val="0000FF"/>
                <w:kern w:val="0"/>
                <w:sz w:val="18"/>
                <w:szCs w:val="18"/>
              </w:rPr>
            </w:pPr>
            <w:r>
              <w:rPr>
                <w:rFonts w:hint="eastAsia" w:ascii="宋体" w:hAnsi="宋体" w:cs="宋体"/>
                <w:b/>
                <w:bCs/>
                <w:color w:val="FF0000"/>
                <w:kern w:val="0"/>
                <w:sz w:val="18"/>
                <w:szCs w:val="18"/>
              </w:rPr>
              <w:t>（根据项目情况选择其一）</w:t>
            </w:r>
          </w:p>
        </w:tc>
        <w:tc>
          <w:tcPr>
            <w:tcW w:w="3703" w:type="dxa"/>
            <w:tcBorders>
              <w:top w:val="single" w:color="auto" w:sz="4" w:space="0"/>
              <w:left w:val="single" w:color="auto" w:sz="4" w:space="0"/>
              <w:bottom w:val="single" w:color="auto" w:sz="4" w:space="0"/>
              <w:right w:val="single" w:color="auto" w:sz="4" w:space="0"/>
            </w:tcBorders>
            <w:shd w:val="clear" w:color="auto" w:fill="D9D9D9"/>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说明</w:t>
            </w:r>
            <w:r>
              <w:rPr>
                <w:rFonts w:hint="eastAsia" w:ascii="宋体" w:hAnsi="宋体" w:cs="宋体"/>
                <w:b/>
                <w:bCs/>
                <w:color w:val="FF0000"/>
                <w:kern w:val="0"/>
                <w:sz w:val="18"/>
                <w:szCs w:val="18"/>
              </w:rPr>
              <w:t>（面向供应商）</w:t>
            </w:r>
          </w:p>
        </w:tc>
      </w:tr>
      <w:tr>
        <w:tblPrEx>
          <w:tblLayout w:type="fixed"/>
          <w:tblCellMar>
            <w:top w:w="0" w:type="dxa"/>
            <w:left w:w="108" w:type="dxa"/>
            <w:bottom w:w="0" w:type="dxa"/>
            <w:right w:w="108" w:type="dxa"/>
          </w:tblCellMar>
        </w:tblPrEx>
        <w:trPr>
          <w:trHeight w:val="19" w:hRule="atLeast"/>
        </w:trPr>
        <w:tc>
          <w:tcPr>
            <w:tcW w:w="5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bookmarkStart w:id="17" w:name="_Hlk216870764"/>
            <w:r>
              <w:rPr>
                <w:rFonts w:hint="default" w:ascii="宋体" w:hAnsi="宋体" w:cs="宋体"/>
                <w:b/>
                <w:bCs/>
                <w:color w:val="000000"/>
                <w:kern w:val="0"/>
                <w:sz w:val="18"/>
                <w:szCs w:val="18"/>
              </w:rPr>
              <w:t>3</w:t>
            </w:r>
          </w:p>
        </w:tc>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价格C</w:t>
            </w:r>
          </w:p>
        </w:tc>
        <w:tc>
          <w:tcPr>
            <w:tcW w:w="18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b/>
                <w:bCs/>
                <w:color w:val="FF0000"/>
                <w:kern w:val="0"/>
                <w:sz w:val="18"/>
                <w:szCs w:val="18"/>
              </w:rPr>
            </w:pPr>
            <w:r>
              <w:rPr>
                <w:rFonts w:hint="eastAsia" w:ascii="宋体" w:hAnsi="宋体" w:cs="宋体"/>
                <w:b/>
                <w:bCs/>
                <w:color w:val="FF0000"/>
                <w:kern w:val="0"/>
                <w:sz w:val="18"/>
                <w:szCs w:val="18"/>
              </w:rPr>
              <w:t>提供</w:t>
            </w:r>
            <w:r>
              <w:rPr>
                <w:rFonts w:hint="eastAsia" w:ascii="宋体" w:hAnsi="宋体" w:cs="宋体"/>
                <w:b/>
                <w:bCs/>
                <w:color w:val="FF0000"/>
                <w:kern w:val="0"/>
                <w:sz w:val="18"/>
                <w:szCs w:val="18"/>
                <w:lang w:val="en-US" w:eastAsia="zh-CN"/>
              </w:rPr>
              <w:t>货物</w:t>
            </w:r>
            <w:r>
              <w:rPr>
                <w:rFonts w:hint="eastAsia" w:ascii="宋体" w:hAnsi="宋体" w:cs="宋体"/>
                <w:b/>
                <w:bCs/>
                <w:color w:val="FF0000"/>
                <w:kern w:val="0"/>
                <w:sz w:val="18"/>
                <w:szCs w:val="18"/>
              </w:rPr>
              <w:t>&amp;服务价格</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cs="宋体"/>
                <w:color w:val="000000"/>
                <w:kern w:val="0"/>
                <w:sz w:val="18"/>
                <w:szCs w:val="18"/>
              </w:rPr>
            </w:pPr>
            <w:r>
              <w:rPr>
                <w:rFonts w:hint="eastAsia" w:ascii="宋体" w:hAnsi="宋体" w:cs="宋体"/>
                <w:b/>
                <w:bCs/>
                <w:color w:val="FF0000"/>
                <w:kern w:val="0"/>
                <w:sz w:val="18"/>
                <w:szCs w:val="18"/>
                <w:lang w:val="en-US" w:eastAsia="zh-CN"/>
              </w:rPr>
              <w:t>50</w:t>
            </w:r>
            <w:r>
              <w:rPr>
                <w:rFonts w:hint="eastAsia" w:ascii="宋体" w:hAnsi="宋体" w:cs="宋体"/>
                <w:b/>
                <w:bCs/>
                <w:color w:val="FF0000"/>
                <w:kern w:val="0"/>
                <w:sz w:val="18"/>
                <w:szCs w:val="18"/>
              </w:rPr>
              <w:t>分</w:t>
            </w:r>
          </w:p>
        </w:tc>
        <w:tc>
          <w:tcPr>
            <w:tcW w:w="50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val="0"/>
              <w:spacing w:before="0" w:beforeAutospacing="0" w:after="0" w:afterAutospacing="0" w:line="240" w:lineRule="exact"/>
              <w:ind w:left="0" w:right="0"/>
              <w:jc w:val="left"/>
              <w:rPr>
                <w:rFonts w:hint="eastAsia" w:ascii="宋体" w:hAnsi="宋体" w:cs="宋体"/>
                <w:b/>
                <w:bCs/>
                <w:color w:val="0000FF"/>
                <w:kern w:val="0"/>
                <w:sz w:val="20"/>
              </w:rPr>
            </w:pPr>
            <w:r>
              <w:rPr>
                <w:rFonts w:hint="eastAsia" w:ascii="宋体" w:hAnsi="宋体" w:cs="宋体"/>
                <w:b/>
                <w:bCs/>
                <w:color w:val="000000"/>
                <w:kern w:val="0"/>
                <w:sz w:val="18"/>
                <w:szCs w:val="18"/>
              </w:rPr>
              <w:t>比值法：满足招标文件要求且投标价格最低的投标报价作为评标基准价，其价格分为满分，投标报价得分=（评标基准价/投标报价）*价格满分</w:t>
            </w:r>
          </w:p>
        </w:tc>
        <w:tc>
          <w:tcPr>
            <w:tcW w:w="370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投标报价一览表所涉及的项目总价（</w:t>
            </w:r>
            <w:r>
              <w:rPr>
                <w:rFonts w:hint="eastAsia" w:ascii="宋体" w:hAnsi="宋体" w:cs="宋体"/>
                <w:b/>
                <w:bCs/>
                <w:color w:val="0000FF"/>
                <w:kern w:val="0"/>
                <w:sz w:val="18"/>
                <w:szCs w:val="18"/>
              </w:rPr>
              <w:t>不含税/含税</w:t>
            </w:r>
            <w:r>
              <w:rPr>
                <w:rFonts w:hint="eastAsia" w:ascii="宋体" w:hAnsi="宋体" w:cs="宋体"/>
                <w:b/>
                <w:bCs/>
                <w:color w:val="000000"/>
                <w:kern w:val="0"/>
                <w:sz w:val="18"/>
                <w:szCs w:val="18"/>
              </w:rPr>
              <w:t>）</w:t>
            </w:r>
          </w:p>
          <w:p>
            <w:pPr>
              <w:keepNext w:val="0"/>
              <w:keepLines w:val="0"/>
              <w:widowControl/>
              <w:suppressLineNumbers w:val="0"/>
              <w:spacing w:before="0" w:beforeAutospacing="0" w:after="0" w:afterAutospacing="0" w:line="240" w:lineRule="exact"/>
              <w:ind w:left="0" w:right="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各分项报价保留小数点后2位有效数字</w:t>
            </w:r>
          </w:p>
          <w:bookmarkEnd w:id="17"/>
        </w:tc>
      </w:tr>
    </w:tbl>
    <w:p>
      <w:pPr>
        <w:rPr>
          <w:rFonts w:hint="eastAsia" w:ascii="等线" w:hAnsi="等线" w:eastAsia="等线"/>
          <w:b/>
          <w:bCs/>
          <w:sz w:val="18"/>
          <w:szCs w:val="18"/>
        </w:rPr>
      </w:pPr>
    </w:p>
    <w:sectPr>
      <w:pgSz w:w="16838" w:h="11906" w:orient="landscape"/>
      <w:pgMar w:top="1134" w:right="1134" w:bottom="851"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320"/>
    <w:multiLevelType w:val="multilevel"/>
    <w:tmpl w:val="04950320"/>
    <w:lvl w:ilvl="0" w:tentative="0">
      <w:start w:val="1"/>
      <w:numFmt w:val="chineseCountingThousand"/>
      <w:suff w:val="space"/>
      <w:lvlText w:val="%1、"/>
      <w:lvlJc w:val="left"/>
      <w:pPr>
        <w:ind w:left="440" w:hanging="440"/>
      </w:pPr>
      <w:rPr>
        <w:rFonts w:hint="eastAsia"/>
        <w:b/>
        <w:bCs w:val="0"/>
        <w:color w:val="auto"/>
      </w:rPr>
    </w:lvl>
    <w:lvl w:ilvl="1" w:tentative="0">
      <w:start w:val="1"/>
      <w:numFmt w:val="decimal"/>
      <w:suff w:val="space"/>
      <w:lvlText w:val="%2、"/>
      <w:lvlJc w:val="left"/>
      <w:pPr>
        <w:ind w:left="360" w:hanging="360"/>
      </w:pPr>
      <w:rPr>
        <w:rFonts w:hint="default"/>
        <w:color w:val="auto"/>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006CB9"/>
    <w:multiLevelType w:val="multilevel"/>
    <w:tmpl w:val="0D006CB9"/>
    <w:lvl w:ilvl="0" w:tentative="0">
      <w:start w:val="1"/>
      <w:numFmt w:val="chineseCountingThousand"/>
      <w:suff w:val="space"/>
      <w:lvlText w:val="(%1)"/>
      <w:lvlJc w:val="left"/>
      <w:pPr>
        <w:ind w:left="0" w:firstLine="0"/>
      </w:pPr>
      <w:rPr>
        <w:rFonts w:hint="eastAsia"/>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072F7D"/>
    <w:multiLevelType w:val="multilevel"/>
    <w:tmpl w:val="22072F7D"/>
    <w:lvl w:ilvl="0" w:tentative="0">
      <w:start w:val="1"/>
      <w:numFmt w:val="decimal"/>
      <w:suff w:val="space"/>
      <w:lvlText w:val="%1、"/>
      <w:lvlJc w:val="left"/>
      <w:pPr>
        <w:ind w:left="357" w:hanging="357"/>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51265CC4"/>
    <w:multiLevelType w:val="multilevel"/>
    <w:tmpl w:val="51265CC4"/>
    <w:lvl w:ilvl="0" w:tentative="0">
      <w:start w:val="1"/>
      <w:numFmt w:val="decimal"/>
      <w:suff w:val="space"/>
      <w:lvlText w:val="%1、"/>
      <w:lvlJc w:val="left"/>
      <w:pPr>
        <w:ind w:left="360" w:hanging="360"/>
      </w:pPr>
      <w:rPr>
        <w:rFonts w:hint="default"/>
      </w:rPr>
    </w:lvl>
    <w:lvl w:ilvl="1" w:tentative="0">
      <w:start w:val="1"/>
      <w:numFmt w:val="decimal"/>
      <w:suff w:val="space"/>
      <w:lvlText w:val="%2、"/>
      <w:lvlJc w:val="left"/>
      <w:pPr>
        <w:ind w:left="357" w:hanging="357"/>
      </w:pPr>
      <w:rPr>
        <w:rFonts w:hint="default"/>
      </w:rPr>
    </w:lvl>
    <w:lvl w:ilvl="2" w:tentative="0">
      <w:start w:val="1"/>
      <w:numFmt w:val="decimal"/>
      <w:lvlText w:val="%3"/>
      <w:lvlJc w:val="left"/>
      <w:pPr>
        <w:ind w:left="0" w:firstLine="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D64"/>
    <w:rsid w:val="00052384"/>
    <w:rsid w:val="00055004"/>
    <w:rsid w:val="0005690C"/>
    <w:rsid w:val="0006225D"/>
    <w:rsid w:val="00086BF8"/>
    <w:rsid w:val="0009445B"/>
    <w:rsid w:val="000A2ABB"/>
    <w:rsid w:val="000B0B65"/>
    <w:rsid w:val="000B2A32"/>
    <w:rsid w:val="000C3DB0"/>
    <w:rsid w:val="000D3FB3"/>
    <w:rsid w:val="000E6041"/>
    <w:rsid w:val="000F4A51"/>
    <w:rsid w:val="000F5427"/>
    <w:rsid w:val="00105477"/>
    <w:rsid w:val="001132DF"/>
    <w:rsid w:val="00142E42"/>
    <w:rsid w:val="00143264"/>
    <w:rsid w:val="00161C70"/>
    <w:rsid w:val="00172A27"/>
    <w:rsid w:val="00196C64"/>
    <w:rsid w:val="001C34FE"/>
    <w:rsid w:val="001D336D"/>
    <w:rsid w:val="001D6087"/>
    <w:rsid w:val="001E00C0"/>
    <w:rsid w:val="00200525"/>
    <w:rsid w:val="002134F3"/>
    <w:rsid w:val="00214B8E"/>
    <w:rsid w:val="00223A26"/>
    <w:rsid w:val="00223B7B"/>
    <w:rsid w:val="00230B74"/>
    <w:rsid w:val="002442EE"/>
    <w:rsid w:val="00275DE6"/>
    <w:rsid w:val="002C4FA0"/>
    <w:rsid w:val="002E74D2"/>
    <w:rsid w:val="002F4E44"/>
    <w:rsid w:val="003148B5"/>
    <w:rsid w:val="00321756"/>
    <w:rsid w:val="003536BD"/>
    <w:rsid w:val="00365639"/>
    <w:rsid w:val="00382ADE"/>
    <w:rsid w:val="003855FD"/>
    <w:rsid w:val="00385C1C"/>
    <w:rsid w:val="00393AF6"/>
    <w:rsid w:val="003E1717"/>
    <w:rsid w:val="0042263E"/>
    <w:rsid w:val="004226BD"/>
    <w:rsid w:val="004369AD"/>
    <w:rsid w:val="004622C9"/>
    <w:rsid w:val="004647BB"/>
    <w:rsid w:val="00464AFF"/>
    <w:rsid w:val="004A5A99"/>
    <w:rsid w:val="004D34D3"/>
    <w:rsid w:val="0051567C"/>
    <w:rsid w:val="00517577"/>
    <w:rsid w:val="00520ABA"/>
    <w:rsid w:val="005529F3"/>
    <w:rsid w:val="00560705"/>
    <w:rsid w:val="00577294"/>
    <w:rsid w:val="005A3146"/>
    <w:rsid w:val="005A590D"/>
    <w:rsid w:val="005C3CA5"/>
    <w:rsid w:val="005C6EAE"/>
    <w:rsid w:val="005E5FA8"/>
    <w:rsid w:val="005F54F8"/>
    <w:rsid w:val="00617A00"/>
    <w:rsid w:val="00627020"/>
    <w:rsid w:val="00654F9A"/>
    <w:rsid w:val="00654FEB"/>
    <w:rsid w:val="00661D39"/>
    <w:rsid w:val="006943B1"/>
    <w:rsid w:val="006958A2"/>
    <w:rsid w:val="006A250F"/>
    <w:rsid w:val="006B6A7B"/>
    <w:rsid w:val="006F7293"/>
    <w:rsid w:val="00703983"/>
    <w:rsid w:val="00723765"/>
    <w:rsid w:val="007242A9"/>
    <w:rsid w:val="00724CE0"/>
    <w:rsid w:val="007344EA"/>
    <w:rsid w:val="00746192"/>
    <w:rsid w:val="00770154"/>
    <w:rsid w:val="00773E90"/>
    <w:rsid w:val="007A1BA8"/>
    <w:rsid w:val="007A32BB"/>
    <w:rsid w:val="007A7EBB"/>
    <w:rsid w:val="007B5EAE"/>
    <w:rsid w:val="007E72ED"/>
    <w:rsid w:val="007F7DC7"/>
    <w:rsid w:val="00837E10"/>
    <w:rsid w:val="008450B7"/>
    <w:rsid w:val="00852DB8"/>
    <w:rsid w:val="00862DA9"/>
    <w:rsid w:val="00871A69"/>
    <w:rsid w:val="00892C81"/>
    <w:rsid w:val="009051D8"/>
    <w:rsid w:val="00935728"/>
    <w:rsid w:val="00956A02"/>
    <w:rsid w:val="0098516E"/>
    <w:rsid w:val="00985317"/>
    <w:rsid w:val="009A5EB9"/>
    <w:rsid w:val="009B0972"/>
    <w:rsid w:val="009B742A"/>
    <w:rsid w:val="009C48CE"/>
    <w:rsid w:val="009F1404"/>
    <w:rsid w:val="00A23D2B"/>
    <w:rsid w:val="00A646A2"/>
    <w:rsid w:val="00A67251"/>
    <w:rsid w:val="00A953E3"/>
    <w:rsid w:val="00AB2F20"/>
    <w:rsid w:val="00AD7822"/>
    <w:rsid w:val="00B06412"/>
    <w:rsid w:val="00B55276"/>
    <w:rsid w:val="00B737BA"/>
    <w:rsid w:val="00BA3827"/>
    <w:rsid w:val="00BB16E0"/>
    <w:rsid w:val="00BB45F0"/>
    <w:rsid w:val="00BE1AA5"/>
    <w:rsid w:val="00BF6E8D"/>
    <w:rsid w:val="00C17EF4"/>
    <w:rsid w:val="00C26D29"/>
    <w:rsid w:val="00C3109C"/>
    <w:rsid w:val="00C31999"/>
    <w:rsid w:val="00C3537D"/>
    <w:rsid w:val="00C41956"/>
    <w:rsid w:val="00C57249"/>
    <w:rsid w:val="00CA2B21"/>
    <w:rsid w:val="00CB25DB"/>
    <w:rsid w:val="00CB5CB7"/>
    <w:rsid w:val="00CC409F"/>
    <w:rsid w:val="00CF7EB6"/>
    <w:rsid w:val="00D02256"/>
    <w:rsid w:val="00D1191E"/>
    <w:rsid w:val="00D34B45"/>
    <w:rsid w:val="00D3603E"/>
    <w:rsid w:val="00D36837"/>
    <w:rsid w:val="00D43C43"/>
    <w:rsid w:val="00D44D39"/>
    <w:rsid w:val="00D52215"/>
    <w:rsid w:val="00D54667"/>
    <w:rsid w:val="00D55399"/>
    <w:rsid w:val="00D60116"/>
    <w:rsid w:val="00D973F5"/>
    <w:rsid w:val="00DB2073"/>
    <w:rsid w:val="00DE75AF"/>
    <w:rsid w:val="00E425AA"/>
    <w:rsid w:val="00E44D16"/>
    <w:rsid w:val="00E91FEB"/>
    <w:rsid w:val="00EA09AD"/>
    <w:rsid w:val="00EA4FE3"/>
    <w:rsid w:val="00EB1A34"/>
    <w:rsid w:val="00EE06F4"/>
    <w:rsid w:val="00EE3E81"/>
    <w:rsid w:val="00F0184F"/>
    <w:rsid w:val="00F01F45"/>
    <w:rsid w:val="00F26B3B"/>
    <w:rsid w:val="00F30C33"/>
    <w:rsid w:val="00F467AD"/>
    <w:rsid w:val="00F66A1B"/>
    <w:rsid w:val="00F8763E"/>
    <w:rsid w:val="00F9656E"/>
    <w:rsid w:val="00FA6120"/>
    <w:rsid w:val="00FB031B"/>
    <w:rsid w:val="00FB1B5D"/>
    <w:rsid w:val="00FB1D21"/>
    <w:rsid w:val="00FB60F2"/>
    <w:rsid w:val="00FC0368"/>
    <w:rsid w:val="022551BE"/>
    <w:rsid w:val="02BF0A2C"/>
    <w:rsid w:val="28D64C70"/>
    <w:rsid w:val="2A9A6A3F"/>
    <w:rsid w:val="2C9C69E0"/>
    <w:rsid w:val="2CE360C1"/>
    <w:rsid w:val="308560FA"/>
    <w:rsid w:val="40394773"/>
    <w:rsid w:val="464A4625"/>
    <w:rsid w:val="482960B1"/>
    <w:rsid w:val="4B065C80"/>
    <w:rsid w:val="5B606120"/>
    <w:rsid w:val="643C6F6D"/>
    <w:rsid w:val="66CA10FA"/>
    <w:rsid w:val="681475F9"/>
    <w:rsid w:val="69DC5C4C"/>
    <w:rsid w:val="70BF30CF"/>
    <w:rsid w:val="7CCE2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0">
    <w:name w:val="Default Paragraph Font"/>
    <w:semiHidden/>
    <w:unhideWhenUsed/>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3">
    <w:name w:val="annotation subject"/>
    <w:basedOn w:val="4"/>
    <w:next w:val="4"/>
    <w:link w:val="22"/>
    <w:uiPriority w:val="0"/>
    <w:rPr>
      <w:b/>
      <w:bCs/>
    </w:rPr>
  </w:style>
  <w:style w:type="paragraph" w:styleId="4">
    <w:name w:val="annotation text"/>
    <w:basedOn w:val="1"/>
    <w:link w:val="29"/>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Times New Roman" w:cs="Times New Roman"/>
      <w:kern w:val="2"/>
      <w:sz w:val="21"/>
      <w:szCs w:val="20"/>
      <w:lang w:val="en-US" w:eastAsia="zh-CN" w:bidi="ar"/>
    </w:rPr>
  </w:style>
  <w:style w:type="paragraph" w:styleId="5">
    <w:name w:val="Body Text"/>
    <w:basedOn w:val="1"/>
    <w:unhideWhenUsed/>
    <w:qFormat/>
    <w:uiPriority w:val="99"/>
    <w:pPr>
      <w:spacing w:line="380" w:lineRule="exact"/>
    </w:pPr>
    <w:rPr>
      <w:rFonts w:ascii="Times New Roman" w:hAnsi="Times New Roman"/>
      <w:sz w:val="24"/>
    </w:rPr>
  </w:style>
  <w:style w:type="paragraph" w:styleId="6">
    <w:name w:val="Balloon Text"/>
    <w:basedOn w:val="1"/>
    <w:link w:val="26"/>
    <w:uiPriority w:val="0"/>
    <w:rPr>
      <w:sz w:val="18"/>
      <w:szCs w:val="18"/>
    </w:rPr>
  </w:style>
  <w:style w:type="paragraph" w:styleId="7">
    <w:name w:val="footer"/>
    <w:basedOn w:val="1"/>
    <w:link w:val="24"/>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Hyperlink"/>
    <w:basedOn w:val="10"/>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styleId="14">
    <w:name w:val="List Paragraph"/>
    <w:basedOn w:val="1"/>
    <w:qFormat/>
    <w:uiPriority w:val="34"/>
    <w:pPr>
      <w:ind w:firstLine="420" w:firstLineChars="200"/>
    </w:pPr>
    <w:rPr>
      <w:rFonts w:ascii="Times New Roman" w:hAnsi="Times New Roman"/>
      <w:sz w:val="24"/>
      <w:szCs w:val="24"/>
    </w:rPr>
  </w:style>
  <w:style w:type="character" w:customStyle="1" w:styleId="15">
    <w:name w:val="font71"/>
    <w:basedOn w:val="10"/>
    <w:uiPriority w:val="0"/>
    <w:rPr>
      <w:rFonts w:hint="eastAsia" w:ascii="宋体" w:hAnsi="宋体" w:eastAsia="宋体" w:cs="宋体"/>
      <w:color w:val="000000"/>
      <w:sz w:val="20"/>
      <w:szCs w:val="20"/>
      <w:u w:val="none"/>
    </w:rPr>
  </w:style>
  <w:style w:type="character" w:customStyle="1" w:styleId="16">
    <w:name w:val="font101"/>
    <w:basedOn w:val="10"/>
    <w:uiPriority w:val="0"/>
    <w:rPr>
      <w:rFonts w:hint="eastAsia" w:ascii="宋体" w:hAnsi="宋体" w:eastAsia="宋体" w:cs="宋体"/>
      <w:color w:val="auto"/>
      <w:sz w:val="20"/>
      <w:szCs w:val="20"/>
      <w:u w:val="none"/>
    </w:rPr>
  </w:style>
  <w:style w:type="character" w:customStyle="1" w:styleId="17">
    <w:name w:val="font61"/>
    <w:basedOn w:val="10"/>
    <w:uiPriority w:val="0"/>
    <w:rPr>
      <w:rFonts w:hint="eastAsia" w:ascii="宋体" w:hAnsi="宋体" w:eastAsia="宋体" w:cs="宋体"/>
      <w:color w:val="000000"/>
      <w:sz w:val="20"/>
      <w:szCs w:val="20"/>
      <w:u w:val="none"/>
    </w:rPr>
  </w:style>
  <w:style w:type="character" w:customStyle="1" w:styleId="18">
    <w:name w:val="font81"/>
    <w:basedOn w:val="10"/>
    <w:qFormat/>
    <w:uiPriority w:val="0"/>
    <w:rPr>
      <w:rFonts w:hint="eastAsia" w:ascii="宋体" w:hAnsi="宋体" w:eastAsia="宋体" w:cs="宋体"/>
      <w:b/>
      <w:color w:val="1F497D"/>
      <w:sz w:val="20"/>
      <w:szCs w:val="20"/>
      <w:u w:val="none"/>
    </w:rPr>
  </w:style>
  <w:style w:type="character" w:customStyle="1" w:styleId="19">
    <w:name w:val="font91"/>
    <w:basedOn w:val="10"/>
    <w:uiPriority w:val="0"/>
    <w:rPr>
      <w:rFonts w:hint="eastAsia" w:ascii="宋体" w:hAnsi="宋体" w:eastAsia="宋体" w:cs="宋体"/>
      <w:b/>
      <w:color w:val="FF0000"/>
      <w:sz w:val="20"/>
      <w:szCs w:val="20"/>
      <w:u w:val="none"/>
    </w:rPr>
  </w:style>
  <w:style w:type="character" w:customStyle="1" w:styleId="20">
    <w:name w:val="font51"/>
    <w:basedOn w:val="10"/>
    <w:uiPriority w:val="0"/>
    <w:rPr>
      <w:rFonts w:hint="eastAsia" w:ascii="宋体" w:hAnsi="宋体" w:eastAsia="宋体" w:cs="宋体"/>
      <w:color w:val="000000"/>
      <w:sz w:val="20"/>
      <w:szCs w:val="20"/>
      <w:u w:val="none"/>
    </w:rPr>
  </w:style>
  <w:style w:type="character" w:customStyle="1" w:styleId="21">
    <w:name w:val="批注文字 字符"/>
    <w:basedOn w:val="10"/>
    <w:link w:val="4"/>
    <w:qFormat/>
    <w:uiPriority w:val="0"/>
    <w:rPr>
      <w:rFonts w:ascii="Calibri" w:hAnsi="Calibri"/>
      <w:kern w:val="2"/>
      <w:sz w:val="21"/>
      <w:szCs w:val="22"/>
    </w:rPr>
  </w:style>
  <w:style w:type="character" w:customStyle="1" w:styleId="22">
    <w:name w:val="批注主题 字符"/>
    <w:basedOn w:val="21"/>
    <w:link w:val="3"/>
    <w:uiPriority w:val="0"/>
    <w:rPr>
      <w:rFonts w:ascii="Calibri" w:hAnsi="Calibri"/>
      <w:b/>
      <w:bCs/>
      <w:kern w:val="2"/>
      <w:sz w:val="21"/>
      <w:szCs w:val="22"/>
    </w:rPr>
  </w:style>
  <w:style w:type="character" w:customStyle="1" w:styleId="23">
    <w:name w:val="页眉 字符"/>
    <w:basedOn w:val="10"/>
    <w:link w:val="8"/>
    <w:uiPriority w:val="0"/>
    <w:rPr>
      <w:rFonts w:ascii="Calibri" w:hAnsi="Calibri"/>
      <w:kern w:val="2"/>
      <w:sz w:val="18"/>
      <w:szCs w:val="18"/>
    </w:rPr>
  </w:style>
  <w:style w:type="character" w:customStyle="1" w:styleId="24">
    <w:name w:val="页脚 字符"/>
    <w:basedOn w:val="10"/>
    <w:link w:val="7"/>
    <w:uiPriority w:val="0"/>
    <w:rPr>
      <w:rFonts w:ascii="Calibri" w:hAnsi="Calibri"/>
      <w:kern w:val="2"/>
      <w:sz w:val="18"/>
      <w:szCs w:val="18"/>
    </w:rPr>
  </w:style>
  <w:style w:type="character" w:customStyle="1" w:styleId="25">
    <w:name w:val="Unresolved Mention"/>
    <w:basedOn w:val="10"/>
    <w:semiHidden/>
    <w:unhideWhenUsed/>
    <w:qFormat/>
    <w:uiPriority w:val="99"/>
    <w:rPr>
      <w:color w:val="605E5C"/>
      <w:shd w:val="clear" w:color="auto" w:fill="E1DFDD"/>
    </w:rPr>
  </w:style>
  <w:style w:type="character" w:customStyle="1" w:styleId="26">
    <w:name w:val="批注框文本 字符"/>
    <w:basedOn w:val="10"/>
    <w:link w:val="6"/>
    <w:uiPriority w:val="0"/>
    <w:rPr>
      <w:rFonts w:ascii="Calibri" w:hAnsi="Calibri"/>
      <w:kern w:val="2"/>
      <w:sz w:val="18"/>
      <w:szCs w:val="18"/>
    </w:rPr>
  </w:style>
  <w:style w:type="paragraph" w:customStyle="1" w:styleId="27">
    <w:name w:val="_Style 26"/>
    <w:basedOn w:val="1"/>
    <w:next w:val="14"/>
    <w:qFormat/>
    <w:uiPriority w:val="34"/>
    <w:pPr>
      <w:ind w:firstLine="420" w:firstLineChars="200"/>
    </w:pPr>
    <w:rPr>
      <w:rFonts w:ascii="等线" w:hAnsi="等线" w:eastAsia="等线"/>
    </w:rPr>
  </w:style>
  <w:style w:type="paragraph" w:customStyle="1" w:styleId="28">
    <w:name w:val="_Style 27"/>
    <w:basedOn w:val="1"/>
    <w:next w:val="14"/>
    <w:qFormat/>
    <w:uiPriority w:val="34"/>
    <w:pPr>
      <w:ind w:firstLine="420" w:firstLineChars="200"/>
    </w:pPr>
    <w:rPr>
      <w:rFonts w:ascii="等线" w:hAnsi="等线" w:eastAsia="等线"/>
    </w:rPr>
  </w:style>
  <w:style w:type="character" w:customStyle="1" w:styleId="29">
    <w:name w:val=" Char Char2"/>
    <w:basedOn w:val="10"/>
    <w:link w:val="4"/>
    <w:uiPriority w:val="0"/>
    <w:rPr>
      <w:kern w:val="2"/>
      <w:sz w:val="21"/>
      <w:lang w:bidi="ar"/>
    </w:rPr>
  </w:style>
  <w:style w:type="paragraph" w:customStyle="1" w:styleId="30">
    <w:name w:val="样式"/>
    <w:basedOn w:val="1"/>
    <w:uiPriority w:val="0"/>
    <w:pPr>
      <w:keepNext w:val="0"/>
      <w:keepLines w:val="0"/>
      <w:widowControl/>
      <w:suppressLineNumbers w:val="0"/>
      <w:spacing w:before="120" w:beforeAutospacing="0" w:after="120" w:afterAutospacing="0" w:line="288" w:lineRule="auto"/>
      <w:ind w:left="0" w:right="0"/>
      <w:jc w:val="left"/>
    </w:pPr>
    <w:rPr>
      <w:rFonts w:ascii="Arial" w:hAnsi="Arial" w:eastAsia="等线" w:cs="Arial"/>
      <w:kern w:val="0"/>
      <w:sz w:val="22"/>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2701</Words>
  <Characters>2809</Characters>
  <Lines>3</Lines>
  <Paragraphs>9</Paragraphs>
  <TotalTime>1</TotalTime>
  <ScaleCrop>false</ScaleCrop>
  <LinksUpToDate>false</LinksUpToDate>
  <CharactersWithSpaces>2815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2025-02-25T07:13:00Z</dcterms:created>
  <dc:creator>chenyaohui</dc:creator>
  <cp:lastModifiedBy>Zhouyz</cp:lastModifiedBy>
  <dcterms:modified xsi:type="dcterms:W3CDTF">2026-06-18T06:51:01Z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KSOTemplateDocerSaveRecord">
    <vt:lpwstr>eyJoZGlkIjoiZDk3M2YxNjY1MWVlZTc3MTQ4ZDVjYzU2Njc4YjQ1MDYiLCJ1c2VySWQiOiI5MDkwNDQ4NzYifQ==</vt:lpwstr>
  </property>
  <property fmtid="{D5CDD505-2E9C-101B-9397-08002B2CF9AE}" pid="4" name="ICV">
    <vt:lpwstr>2831A1807FBB4CDFB7303FDF065AEF46_12</vt:lpwstr>
  </property>
</Properties>
</file>